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CC" w:rsidRDefault="00056CCC">
      <w:r>
        <w:t>Usnesení ZMO ze dne 21. 9. 2015</w:t>
      </w:r>
    </w:p>
    <w:p w:rsidR="00056CCC" w:rsidRDefault="00056CCC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86"/>
        <w:gridCol w:w="6949"/>
      </w:tblGrid>
      <w:tr w:rsidR="00056CCC" w:rsidRPr="001109AD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ind w:left="1701" w:hanging="1701"/>
            </w:pPr>
            <w:r>
              <w:rPr>
                <w:rFonts w:ascii="Arial" w:hAnsi="Arial" w:cs="Arial"/>
                <w:b/>
              </w:rPr>
              <w:t>179/9 ZM 15</w:t>
            </w:r>
          </w:p>
          <w:p w:rsidR="00056CCC" w:rsidRPr="003D4F4F" w:rsidRDefault="00056CCC" w:rsidP="00CA6B89">
            <w:pPr>
              <w:pStyle w:val="1usnesen"/>
              <w:numPr>
                <w:ilvl w:val="0"/>
                <w:numId w:val="0"/>
              </w:numPr>
            </w:pPr>
          </w:p>
        </w:tc>
        <w:tc>
          <w:tcPr>
            <w:tcW w:w="7735" w:type="dxa"/>
            <w:gridSpan w:val="2"/>
          </w:tcPr>
          <w:p w:rsidR="00056CCC" w:rsidRPr="001109AD" w:rsidRDefault="00056CCC" w:rsidP="00CA6B89">
            <w:pPr>
              <w:pStyle w:val="usnesenbuka"/>
              <w:rPr>
                <w:b/>
              </w:rPr>
            </w:pPr>
            <w:r w:rsidRPr="003D4F4F">
              <w:rPr>
                <w:b/>
              </w:rPr>
              <w:t>Žádosti o změnu obecně závazné vyhlášky č. 3/2015</w:t>
            </w:r>
          </w:p>
        </w:tc>
      </w:tr>
      <w:tr w:rsidR="00056CCC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735" w:type="dxa"/>
            <w:gridSpan w:val="2"/>
          </w:tcPr>
          <w:p w:rsidR="00056CCC" w:rsidRDefault="00056CCC" w:rsidP="00CA6B89">
            <w:pPr>
              <w:pStyle w:val="usnesenbuka"/>
            </w:pPr>
            <w:r>
              <w:t>Zastupitelstvo města</w:t>
            </w:r>
          </w:p>
        </w:tc>
      </w:tr>
      <w:tr w:rsidR="00056CCC" w:rsidRPr="006809F4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86" w:type="dxa"/>
          </w:tcPr>
          <w:p w:rsidR="00056CCC" w:rsidRPr="003A2839" w:rsidRDefault="00056CCC" w:rsidP="00056CCC">
            <w:pPr>
              <w:pStyle w:val="1usnesen"/>
              <w:numPr>
                <w:ilvl w:val="1"/>
                <w:numId w:val="2"/>
              </w:numPr>
            </w:pPr>
          </w:p>
        </w:tc>
        <w:tc>
          <w:tcPr>
            <w:tcW w:w="6949" w:type="dxa"/>
          </w:tcPr>
          <w:p w:rsidR="00056CCC" w:rsidRPr="006809F4" w:rsidRDefault="00056CCC" w:rsidP="00CA6B89">
            <w:pPr>
              <w:pStyle w:val="usnesenbuka"/>
              <w:rPr>
                <w:b/>
              </w:rPr>
            </w:pPr>
            <w:r>
              <w:rPr>
                <w:b/>
              </w:rPr>
              <w:t xml:space="preserve">bere na vědomí </w:t>
            </w:r>
          </w:p>
        </w:tc>
      </w:tr>
      <w:tr w:rsidR="00056CCC" w:rsidRPr="00A6731D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86" w:type="dxa"/>
          </w:tcPr>
          <w:p w:rsidR="00056CCC" w:rsidRDefault="00056CCC" w:rsidP="00056CCC">
            <w:pPr>
              <w:pStyle w:val="2usnesen"/>
              <w:numPr>
                <w:ilvl w:val="2"/>
                <w:numId w:val="2"/>
              </w:numPr>
              <w:ind w:left="0"/>
            </w:pPr>
          </w:p>
        </w:tc>
        <w:tc>
          <w:tcPr>
            <w:tcW w:w="6949" w:type="dxa"/>
          </w:tcPr>
          <w:p w:rsidR="00056CCC" w:rsidRDefault="00056CCC" w:rsidP="00CA6B89">
            <w:pPr>
              <w:pStyle w:val="usnesenbuka"/>
            </w:pPr>
            <w:r w:rsidRPr="009832B0">
              <w:t>žádost o rozšíření OZV 3/2015 ze dne 1.</w:t>
            </w:r>
            <w:r>
              <w:t xml:space="preserve"> </w:t>
            </w:r>
            <w:r w:rsidRPr="009832B0">
              <w:t>6.</w:t>
            </w:r>
            <w:r>
              <w:t xml:space="preserve"> </w:t>
            </w:r>
            <w:r w:rsidRPr="009832B0">
              <w:t>2015 podan</w:t>
            </w:r>
            <w:r>
              <w:t>ou</w:t>
            </w:r>
            <w:r w:rsidRPr="009832B0">
              <w:t xml:space="preserve"> společností AUTO GAMES a. s., IČ: 25544608, Praha Modřany, V </w:t>
            </w:r>
            <w:proofErr w:type="spellStart"/>
            <w:r>
              <w:t>P</w:t>
            </w:r>
            <w:r w:rsidRPr="009832B0">
              <w:t>otočkách</w:t>
            </w:r>
            <w:proofErr w:type="spellEnd"/>
            <w:r w:rsidRPr="009832B0">
              <w:t xml:space="preserve"> 1020/6</w:t>
            </w:r>
          </w:p>
          <w:p w:rsidR="00056CCC" w:rsidRPr="00A6731D" w:rsidRDefault="00056CCC" w:rsidP="00CA6B89">
            <w:pPr>
              <w:pStyle w:val="usnesenbuka"/>
            </w:pPr>
          </w:p>
        </w:tc>
      </w:tr>
      <w:tr w:rsidR="00056CCC" w:rsidRPr="00A6731D" w:rsidTr="00056CCC">
        <w:trPr>
          <w:cantSplit/>
          <w:trHeight w:val="284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86" w:type="dxa"/>
          </w:tcPr>
          <w:p w:rsidR="00056CCC" w:rsidRDefault="00056CCC" w:rsidP="00056CCC">
            <w:pPr>
              <w:pStyle w:val="2usnesen"/>
              <w:numPr>
                <w:ilvl w:val="2"/>
                <w:numId w:val="2"/>
              </w:numPr>
              <w:ind w:left="0"/>
            </w:pPr>
          </w:p>
        </w:tc>
        <w:tc>
          <w:tcPr>
            <w:tcW w:w="6949" w:type="dxa"/>
          </w:tcPr>
          <w:p w:rsidR="00056CCC" w:rsidRDefault="00056CCC" w:rsidP="00CA6B89">
            <w:pPr>
              <w:pStyle w:val="usnesenbuka"/>
            </w:pPr>
            <w:r w:rsidRPr="009832B0">
              <w:t>žádost o provozování loterijních zařízení ze dne 22.</w:t>
            </w:r>
            <w:r>
              <w:t xml:space="preserve"> </w:t>
            </w:r>
            <w:r w:rsidRPr="009832B0">
              <w:t>6.</w:t>
            </w:r>
            <w:r>
              <w:t xml:space="preserve"> </w:t>
            </w:r>
            <w:r w:rsidRPr="009832B0">
              <w:t>2015 podan</w:t>
            </w:r>
            <w:r>
              <w:t>ou</w:t>
            </w:r>
            <w:r w:rsidRPr="009832B0">
              <w:t xml:space="preserve"> Miroslavem Kupkou, provozovatelem Restaurace Zimní stadion</w:t>
            </w:r>
          </w:p>
          <w:p w:rsidR="00056CCC" w:rsidRPr="00A6731D" w:rsidRDefault="00056CCC" w:rsidP="00CA6B89">
            <w:pPr>
              <w:pStyle w:val="usnesenbuka"/>
            </w:pPr>
          </w:p>
        </w:tc>
      </w:tr>
      <w:tr w:rsidR="00056CCC" w:rsidRPr="006809F4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86" w:type="dxa"/>
          </w:tcPr>
          <w:p w:rsidR="00056CCC" w:rsidRDefault="00056CCC" w:rsidP="00056CCC">
            <w:pPr>
              <w:pStyle w:val="1usnesen"/>
              <w:numPr>
                <w:ilvl w:val="1"/>
                <w:numId w:val="2"/>
              </w:numPr>
            </w:pPr>
          </w:p>
        </w:tc>
        <w:tc>
          <w:tcPr>
            <w:tcW w:w="6949" w:type="dxa"/>
          </w:tcPr>
          <w:p w:rsidR="00056CCC" w:rsidRPr="006809F4" w:rsidRDefault="00056CCC" w:rsidP="00CA6B89">
            <w:pPr>
              <w:pStyle w:val="usnesenbuka"/>
              <w:rPr>
                <w:b/>
              </w:rPr>
            </w:pPr>
            <w:r w:rsidRPr="006809F4">
              <w:rPr>
                <w:b/>
              </w:rPr>
              <w:t>neschvaluje</w:t>
            </w:r>
          </w:p>
        </w:tc>
      </w:tr>
      <w:tr w:rsidR="00056CCC" w:rsidTr="00056CCC">
        <w:trPr>
          <w:cantSplit/>
          <w:trHeight w:val="567"/>
        </w:trPr>
        <w:tc>
          <w:tcPr>
            <w:tcW w:w="1553" w:type="dxa"/>
          </w:tcPr>
          <w:p w:rsidR="00056CCC" w:rsidRDefault="00056CCC" w:rsidP="00CA6B89">
            <w:pPr>
              <w:pStyle w:val="usnesenbuka"/>
            </w:pPr>
          </w:p>
        </w:tc>
        <w:tc>
          <w:tcPr>
            <w:tcW w:w="786" w:type="dxa"/>
          </w:tcPr>
          <w:p w:rsidR="00056CCC" w:rsidRDefault="00056CCC" w:rsidP="00CA6B89">
            <w:pPr>
              <w:pStyle w:val="2usnesen"/>
              <w:numPr>
                <w:ilvl w:val="0"/>
                <w:numId w:val="0"/>
              </w:numPr>
            </w:pPr>
          </w:p>
        </w:tc>
        <w:tc>
          <w:tcPr>
            <w:tcW w:w="6949" w:type="dxa"/>
          </w:tcPr>
          <w:p w:rsidR="00056CCC" w:rsidRDefault="00056CCC" w:rsidP="00CA6B89">
            <w:pPr>
              <w:pStyle w:val="usnesenbuka"/>
            </w:pPr>
            <w:r>
              <w:t xml:space="preserve">změny </w:t>
            </w:r>
            <w:r w:rsidRPr="008C4A21">
              <w:t>příloh</w:t>
            </w:r>
            <w:r>
              <w:t>y</w:t>
            </w:r>
            <w:r w:rsidRPr="008C4A21">
              <w:t xml:space="preserve"> č. 1 s názvem „Určení veřejně přístupných míst provozu sázkových her, loterií a jiných podobných her“ k obecně závazné vyhlášce </w:t>
            </w:r>
            <w:r>
              <w:rPr>
                <w:szCs w:val="22"/>
              </w:rPr>
              <w:br/>
            </w:r>
            <w:r w:rsidRPr="008C4A21">
              <w:t>č. 3/2015, o stanovení míst a času provozu sázkových her, loterií a jiných podobných her</w:t>
            </w:r>
            <w:r>
              <w:t xml:space="preserve"> navrhované ve výše uvedených žádostech</w:t>
            </w:r>
          </w:p>
        </w:tc>
      </w:tr>
    </w:tbl>
    <w:p w:rsidR="00056CCC" w:rsidRDefault="00056CCC" w:rsidP="00056CCC"/>
    <w:p w:rsidR="00997D93" w:rsidRDefault="00997D93">
      <w:bookmarkStart w:id="0" w:name="_GoBack"/>
      <w:bookmarkEnd w:id="0"/>
    </w:p>
    <w:sectPr w:rsidR="009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CC8"/>
    <w:multiLevelType w:val="multilevel"/>
    <w:tmpl w:val="441665AE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rPr>
        <w:rFonts w:cs="Times New Roman" w:hint="default"/>
      </w:rPr>
    </w:lvl>
    <w:lvl w:ilvl="2">
      <w:start w:val="1"/>
      <w:numFmt w:val="lowerLetter"/>
      <w:suff w:val="nothing"/>
      <w:lvlText w:val="%3)"/>
      <w:lvlJc w:val="left"/>
      <w:rPr>
        <w:rFonts w:cs="Times New Roman" w:hint="default"/>
      </w:rPr>
    </w:lvl>
    <w:lvl w:ilvl="3">
      <w:start w:val="1"/>
      <w:numFmt w:val="lowerLetter"/>
      <w:suff w:val="nothing"/>
      <w:lvlText w:val="%3%4)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73DD2D0B"/>
    <w:multiLevelType w:val="multilevel"/>
    <w:tmpl w:val="9E62AC6C"/>
    <w:styleLink w:val="usnesenseznam"/>
    <w:lvl w:ilvl="0">
      <w:start w:val="1"/>
      <w:numFmt w:val="none"/>
      <w:pStyle w:val="usnesenbod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1usnesen"/>
      <w:suff w:val="nothing"/>
      <w:lvlText w:val="%2."/>
      <w:lvlJc w:val="left"/>
      <w:rPr>
        <w:rFonts w:cs="Times New Roman" w:hint="default"/>
      </w:rPr>
    </w:lvl>
    <w:lvl w:ilvl="2">
      <w:start w:val="1"/>
      <w:numFmt w:val="lowerLetter"/>
      <w:pStyle w:val="2usnesen"/>
      <w:suff w:val="nothing"/>
      <w:lvlText w:val="%3)"/>
      <w:lvlJc w:val="left"/>
      <w:pPr>
        <w:ind w:left="284"/>
      </w:pPr>
      <w:rPr>
        <w:rFonts w:cs="Times New Roman" w:hint="default"/>
      </w:rPr>
    </w:lvl>
    <w:lvl w:ilvl="3">
      <w:start w:val="1"/>
      <w:numFmt w:val="lowerLetter"/>
      <w:pStyle w:val="3usnesen"/>
      <w:suff w:val="nothing"/>
      <w:lvlText w:val="%3%4)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29"/>
    <w:rsid w:val="00056CCC"/>
    <w:rsid w:val="00997D93"/>
    <w:rsid w:val="00E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CCC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6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nesenbuka">
    <w:name w:val="usnesení buňka"/>
    <w:basedOn w:val="Normln"/>
    <w:link w:val="usnesenbukaChar"/>
    <w:qFormat/>
    <w:rsid w:val="00056CCC"/>
    <w:pPr>
      <w:jc w:val="both"/>
    </w:pPr>
  </w:style>
  <w:style w:type="paragraph" w:customStyle="1" w:styleId="3usnesen">
    <w:name w:val="3 usnesení"/>
    <w:basedOn w:val="usnesenbuka"/>
    <w:next w:val="usnesenbuka"/>
    <w:qFormat/>
    <w:rsid w:val="00056CCC"/>
    <w:pPr>
      <w:numPr>
        <w:ilvl w:val="3"/>
        <w:numId w:val="1"/>
      </w:numPr>
      <w:tabs>
        <w:tab w:val="num" w:pos="360"/>
      </w:tabs>
    </w:pPr>
  </w:style>
  <w:style w:type="character" w:customStyle="1" w:styleId="usnesenbukaChar">
    <w:name w:val="usnesení buňka Char"/>
    <w:basedOn w:val="Standardnpsmoodstavce"/>
    <w:link w:val="usnesenbuka"/>
    <w:locked/>
    <w:rsid w:val="00056CCC"/>
    <w:rPr>
      <w:rFonts w:eastAsia="Times New Roman" w:cs="Times New Roman"/>
      <w:sz w:val="20"/>
      <w:szCs w:val="24"/>
    </w:rPr>
  </w:style>
  <w:style w:type="paragraph" w:customStyle="1" w:styleId="2usnesen">
    <w:name w:val="2 usnesení"/>
    <w:basedOn w:val="usnesenbuka"/>
    <w:next w:val="3usnesen"/>
    <w:qFormat/>
    <w:rsid w:val="00056CCC"/>
    <w:pPr>
      <w:numPr>
        <w:ilvl w:val="2"/>
        <w:numId w:val="1"/>
      </w:numPr>
      <w:tabs>
        <w:tab w:val="num" w:pos="360"/>
      </w:tabs>
      <w:ind w:left="0"/>
    </w:pPr>
  </w:style>
  <w:style w:type="paragraph" w:customStyle="1" w:styleId="1usnesen">
    <w:name w:val="1 usnesení"/>
    <w:basedOn w:val="usnesenbuka"/>
    <w:next w:val="2usnesen"/>
    <w:qFormat/>
    <w:rsid w:val="00056CCC"/>
    <w:pPr>
      <w:numPr>
        <w:ilvl w:val="1"/>
        <w:numId w:val="1"/>
      </w:numPr>
      <w:tabs>
        <w:tab w:val="num" w:pos="360"/>
      </w:tabs>
    </w:pPr>
    <w:rPr>
      <w:b/>
    </w:rPr>
  </w:style>
  <w:style w:type="paragraph" w:customStyle="1" w:styleId="usnesenbod">
    <w:name w:val="usnesení bod"/>
    <w:basedOn w:val="usnesenbuka"/>
    <w:next w:val="1usnesen"/>
    <w:qFormat/>
    <w:rsid w:val="00056CCC"/>
    <w:pPr>
      <w:numPr>
        <w:numId w:val="1"/>
      </w:numPr>
      <w:tabs>
        <w:tab w:val="num" w:pos="360"/>
      </w:tabs>
    </w:pPr>
    <w:rPr>
      <w:b/>
    </w:rPr>
  </w:style>
  <w:style w:type="numbering" w:customStyle="1" w:styleId="usnesenseznam">
    <w:name w:val="usnesení seznam"/>
    <w:rsid w:val="00056CC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CCC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6C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nesenbuka">
    <w:name w:val="usnesení buňka"/>
    <w:basedOn w:val="Normln"/>
    <w:link w:val="usnesenbukaChar"/>
    <w:qFormat/>
    <w:rsid w:val="00056CCC"/>
    <w:pPr>
      <w:jc w:val="both"/>
    </w:pPr>
  </w:style>
  <w:style w:type="paragraph" w:customStyle="1" w:styleId="3usnesen">
    <w:name w:val="3 usnesení"/>
    <w:basedOn w:val="usnesenbuka"/>
    <w:next w:val="usnesenbuka"/>
    <w:qFormat/>
    <w:rsid w:val="00056CCC"/>
    <w:pPr>
      <w:numPr>
        <w:ilvl w:val="3"/>
        <w:numId w:val="1"/>
      </w:numPr>
      <w:tabs>
        <w:tab w:val="num" w:pos="360"/>
      </w:tabs>
    </w:pPr>
  </w:style>
  <w:style w:type="character" w:customStyle="1" w:styleId="usnesenbukaChar">
    <w:name w:val="usnesení buňka Char"/>
    <w:basedOn w:val="Standardnpsmoodstavce"/>
    <w:link w:val="usnesenbuka"/>
    <w:locked/>
    <w:rsid w:val="00056CCC"/>
    <w:rPr>
      <w:rFonts w:eastAsia="Times New Roman" w:cs="Times New Roman"/>
      <w:sz w:val="20"/>
      <w:szCs w:val="24"/>
    </w:rPr>
  </w:style>
  <w:style w:type="paragraph" w:customStyle="1" w:styleId="2usnesen">
    <w:name w:val="2 usnesení"/>
    <w:basedOn w:val="usnesenbuka"/>
    <w:next w:val="3usnesen"/>
    <w:qFormat/>
    <w:rsid w:val="00056CCC"/>
    <w:pPr>
      <w:numPr>
        <w:ilvl w:val="2"/>
        <w:numId w:val="1"/>
      </w:numPr>
      <w:tabs>
        <w:tab w:val="num" w:pos="360"/>
      </w:tabs>
      <w:ind w:left="0"/>
    </w:pPr>
  </w:style>
  <w:style w:type="paragraph" w:customStyle="1" w:styleId="1usnesen">
    <w:name w:val="1 usnesení"/>
    <w:basedOn w:val="usnesenbuka"/>
    <w:next w:val="2usnesen"/>
    <w:qFormat/>
    <w:rsid w:val="00056CCC"/>
    <w:pPr>
      <w:numPr>
        <w:ilvl w:val="1"/>
        <w:numId w:val="1"/>
      </w:numPr>
      <w:tabs>
        <w:tab w:val="num" w:pos="360"/>
      </w:tabs>
    </w:pPr>
    <w:rPr>
      <w:b/>
    </w:rPr>
  </w:style>
  <w:style w:type="paragraph" w:customStyle="1" w:styleId="usnesenbod">
    <w:name w:val="usnesení bod"/>
    <w:basedOn w:val="usnesenbuka"/>
    <w:next w:val="1usnesen"/>
    <w:qFormat/>
    <w:rsid w:val="00056CCC"/>
    <w:pPr>
      <w:numPr>
        <w:numId w:val="1"/>
      </w:numPr>
      <w:tabs>
        <w:tab w:val="num" w:pos="360"/>
      </w:tabs>
    </w:pPr>
    <w:rPr>
      <w:b/>
    </w:rPr>
  </w:style>
  <w:style w:type="numbering" w:customStyle="1" w:styleId="usnesenseznam">
    <w:name w:val="usnesení seznam"/>
    <w:rsid w:val="00056CC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>SMO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Jana</dc:creator>
  <cp:keywords/>
  <dc:description/>
  <cp:lastModifiedBy>Vaňková Jana</cp:lastModifiedBy>
  <cp:revision>2</cp:revision>
  <dcterms:created xsi:type="dcterms:W3CDTF">2015-11-25T09:49:00Z</dcterms:created>
  <dcterms:modified xsi:type="dcterms:W3CDTF">2015-11-25T09:49:00Z</dcterms:modified>
</cp:coreProperties>
</file>