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6C55FC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6C55FC" w:rsidRDefault="006C55FC" w:rsidP="006B4EB7">
            <w:r>
              <w:rPr>
                <w:noProof/>
              </w:rPr>
              <w:drawing>
                <wp:inline distT="0" distB="0" distL="0" distR="0" wp14:anchorId="015A6902" wp14:editId="047B159F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:rsidR="006C55FC" w:rsidRDefault="006C55FC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F92878" wp14:editId="719228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6C55FC" w:rsidRDefault="006C55FC" w:rsidP="006B4EB7"/>
          <w:p w:rsidR="00DF52CB" w:rsidRDefault="00DF52CB" w:rsidP="006B4EB7"/>
          <w:p w:rsidR="00DF52CB" w:rsidRDefault="00DF52CB" w:rsidP="006B4EB7"/>
        </w:tc>
        <w:tc>
          <w:tcPr>
            <w:tcW w:w="1829" w:type="dxa"/>
            <w:gridSpan w:val="2"/>
            <w:vMerge/>
          </w:tcPr>
          <w:p w:rsidR="006C55FC" w:rsidRDefault="006C55FC" w:rsidP="006B4EB7"/>
        </w:tc>
      </w:tr>
      <w:tr w:rsidR="006C55FC" w:rsidTr="006B4EB7">
        <w:trPr>
          <w:cantSplit/>
          <w:trHeight w:val="360"/>
        </w:trPr>
        <w:tc>
          <w:tcPr>
            <w:tcW w:w="6015" w:type="dxa"/>
            <w:gridSpan w:val="2"/>
          </w:tcPr>
          <w:p w:rsidR="006C55FC" w:rsidRDefault="006C55FC" w:rsidP="006B4EB7"/>
        </w:tc>
        <w:tc>
          <w:tcPr>
            <w:tcW w:w="3235" w:type="dxa"/>
            <w:gridSpan w:val="2"/>
            <w:vAlign w:val="center"/>
          </w:tcPr>
          <w:p w:rsidR="006C55FC" w:rsidRDefault="006C55FC" w:rsidP="006B4E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8B4232">
              <w:rPr>
                <w:rFonts w:ascii="Arial" w:hAnsi="Arial" w:cs="Arial"/>
                <w:sz w:val="20"/>
                <w:szCs w:val="20"/>
              </w:rPr>
              <w:t>MMOPP009FZMR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9" w:type="dxa"/>
          </w:tcPr>
          <w:p w:rsidR="006C55FC" w:rsidRDefault="006C55FC" w:rsidP="006B4EB7"/>
        </w:tc>
      </w:tr>
      <w:tr w:rsidR="006C55FC" w:rsidRPr="009D4A9A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:rsidR="006C55FC" w:rsidRPr="009D4A9A" w:rsidRDefault="006C55FC" w:rsidP="006B4EB7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§ 1746 zákona č. 89/2012 Sb., občanského zákoníku </w:t>
            </w:r>
          </w:p>
        </w:tc>
      </w:tr>
      <w:tr w:rsidR="006C55FC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:rsidTr="006B4EB7">
        <w:trPr>
          <w:trHeight w:val="291"/>
        </w:trPr>
        <w:tc>
          <w:tcPr>
            <w:tcW w:w="9639" w:type="dxa"/>
            <w:gridSpan w:val="5"/>
          </w:tcPr>
          <w:p w:rsidR="006C55FC" w:rsidRDefault="006C55FC" w:rsidP="006B4EB7"/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6C55FC" w:rsidRPr="007E0CCB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Radimem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Křupalou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 primátorem</w:t>
            </w:r>
            <w:proofErr w:type="gramEnd"/>
          </w:p>
        </w:tc>
      </w:tr>
      <w:tr w:rsidR="006C55FC" w:rsidRPr="007E0CCB" w:rsidTr="006B4EB7">
        <w:trPr>
          <w:trHeight w:hRule="exact" w:val="220"/>
        </w:trPr>
        <w:tc>
          <w:tcPr>
            <w:tcW w:w="2320" w:type="dxa"/>
          </w:tcPr>
          <w:p w:rsidR="006C55FC" w:rsidRDefault="006C55FC" w:rsidP="006B4EB7"/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9639" w:type="dxa"/>
            <w:gridSpan w:val="5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6C55FC" w:rsidRDefault="00864ED4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864ED4">
              <w:rPr>
                <w:rFonts w:ascii="Arial" w:hAnsi="Arial"/>
                <w:b/>
                <w:sz w:val="20"/>
                <w:szCs w:val="20"/>
              </w:rPr>
              <w:t>Charita Opava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864ED4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864ED4">
              <w:rPr>
                <w:rFonts w:ascii="Arial" w:hAnsi="Arial"/>
                <w:b/>
                <w:sz w:val="20"/>
                <w:szCs w:val="20"/>
              </w:rPr>
              <w:t>Přemyslovců 13/26, 747 07 Opava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864ED4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864ED4">
              <w:rPr>
                <w:rFonts w:ascii="Arial" w:hAnsi="Arial"/>
                <w:b/>
                <w:sz w:val="20"/>
                <w:szCs w:val="20"/>
              </w:rPr>
              <w:t>43964591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864ED4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864ED4">
              <w:rPr>
                <w:rFonts w:ascii="Arial" w:hAnsi="Arial"/>
                <w:b/>
                <w:sz w:val="20"/>
                <w:szCs w:val="20"/>
              </w:rPr>
              <w:t>154871941/0300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864ED4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864ED4">
              <w:rPr>
                <w:rFonts w:ascii="Arial" w:hAnsi="Arial"/>
                <w:b/>
                <w:sz w:val="20"/>
                <w:szCs w:val="20"/>
              </w:rPr>
              <w:t>Československá obchodní banka, a.s.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Default="00864ED4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864ED4">
              <w:rPr>
                <w:rFonts w:ascii="Arial" w:hAnsi="Arial"/>
                <w:b/>
                <w:sz w:val="20"/>
                <w:szCs w:val="20"/>
              </w:rPr>
              <w:t>Janem Hanušem, ředitelem</w:t>
            </w:r>
          </w:p>
        </w:tc>
      </w:tr>
    </w:tbl>
    <w:p w:rsidR="00F43CF5" w:rsidRDefault="006C55FC">
      <w:pPr>
        <w:rPr>
          <w:rFonts w:ascii="Arial" w:hAnsi="Arial" w:cs="Arial"/>
          <w:sz w:val="18"/>
          <w:szCs w:val="18"/>
        </w:rPr>
      </w:pPr>
      <w:r w:rsidRPr="006C55FC">
        <w:rPr>
          <w:rFonts w:ascii="Arial" w:hAnsi="Arial" w:cs="Arial"/>
          <w:sz w:val="18"/>
          <w:szCs w:val="18"/>
        </w:rPr>
        <w:t>dále také jen „</w:t>
      </w:r>
      <w:r w:rsidRPr="006C55FC">
        <w:rPr>
          <w:rFonts w:ascii="Arial" w:hAnsi="Arial" w:cs="Arial"/>
          <w:b/>
          <w:sz w:val="18"/>
          <w:szCs w:val="18"/>
        </w:rPr>
        <w:t>příjemce</w:t>
      </w:r>
      <w:r w:rsidRPr="006C55FC">
        <w:rPr>
          <w:rFonts w:ascii="Arial" w:hAnsi="Arial" w:cs="Arial"/>
          <w:sz w:val="18"/>
          <w:szCs w:val="18"/>
        </w:rPr>
        <w:t>“</w:t>
      </w: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9658AD" w:rsidRDefault="009658AD">
      <w:pPr>
        <w:rPr>
          <w:rFonts w:ascii="Arial" w:hAnsi="Arial" w:cs="Arial"/>
          <w:sz w:val="18"/>
          <w:szCs w:val="18"/>
        </w:rPr>
      </w:pPr>
    </w:p>
    <w:p w:rsidR="006C55FC" w:rsidRDefault="006C55FC">
      <w:pPr>
        <w:rPr>
          <w:rFonts w:ascii="Arial" w:hAnsi="Arial" w:cs="Arial"/>
          <w:sz w:val="18"/>
          <w:szCs w:val="18"/>
        </w:rPr>
      </w:pPr>
    </w:p>
    <w:p w:rsidR="002D2E78" w:rsidRDefault="002D2E78">
      <w:pPr>
        <w:rPr>
          <w:rFonts w:ascii="Arial" w:hAnsi="Arial" w:cs="Arial"/>
          <w:sz w:val="18"/>
          <w:szCs w:val="18"/>
        </w:rPr>
      </w:pPr>
    </w:p>
    <w:p w:rsidR="00397A1B" w:rsidRDefault="00397A1B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</w:p>
    <w:p w:rsidR="00397A1B" w:rsidRDefault="00397A1B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Závazkový vztah z této smlouvy vzniká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1746 odst. 2 zákona č. 89/2012 Sb., občanský zákoník. Nestanoví-li tato smlouva jinak, použijí se na závazky z ní vznikající ustanovení občanského zákoníku, která upravují závazky jim nejbližší.</w:t>
      </w:r>
    </w:p>
    <w:p w:rsidR="006C55FC" w:rsidRDefault="006C55FC" w:rsidP="006C55F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ve smyslu zákona </w:t>
      </w:r>
      <w:r w:rsidR="00EC13A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č. 320/2001 Sb., o finanční kontrole ve veřejné správě a o změně některých zákonů (zákon </w:t>
      </w:r>
      <w:r w:rsidR="00EC13A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6C55FC" w:rsidRPr="00554898" w:rsidRDefault="006C55FC" w:rsidP="00B145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tímto potvrzují, že jsou si vědomy, že tato smlouva je veřejnoprávní smlouvou uzavřenou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10a odst. 5 zákona č. 250/2000 Sb., o rozpočtových pravidlech územních rozpočtů, a neoprávněné použití nebo zadržení peněžních prostředků tvořících dotaci </w:t>
      </w:r>
      <w:r w:rsidR="00EC13A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je porušením rozpočtové kázně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22 tohoto zákona se všemi právními důsledky s tím spojenými.</w:t>
      </w:r>
    </w:p>
    <w:p w:rsidR="002D2E78" w:rsidRDefault="002D2E78" w:rsidP="00B145BB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za sjednaných podmínek neinvestiční úče</w:t>
      </w:r>
      <w:r w:rsidR="00840207">
        <w:rPr>
          <w:rFonts w:ascii="Arial" w:hAnsi="Arial" w:cs="Arial"/>
          <w:sz w:val="20"/>
          <w:szCs w:val="20"/>
        </w:rPr>
        <w:t>lově určenou dotaci z rozpočtu 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:rsidR="002D2E78" w:rsidRDefault="002D2E78" w:rsidP="00B145BB">
      <w:pPr>
        <w:rPr>
          <w:rFonts w:ascii="Arial" w:hAnsi="Arial" w:cs="Arial"/>
          <w:sz w:val="20"/>
          <w:szCs w:val="20"/>
        </w:rPr>
      </w:pPr>
    </w:p>
    <w:p w:rsidR="00C9725F" w:rsidRDefault="00C9725F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844F94">
        <w:rPr>
          <w:rFonts w:ascii="Arial" w:hAnsi="Arial" w:cs="Arial"/>
          <w:bCs/>
          <w:sz w:val="20"/>
          <w:szCs w:val="20"/>
        </w:rPr>
        <w:t xml:space="preserve">činí </w:t>
      </w:r>
      <w:r w:rsidR="000D06EF" w:rsidRPr="003853AF">
        <w:rPr>
          <w:rFonts w:ascii="Arial" w:hAnsi="Arial" w:cs="Arial"/>
          <w:b/>
          <w:bCs/>
          <w:sz w:val="20"/>
          <w:szCs w:val="20"/>
        </w:rPr>
        <w:t>574.000,00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74347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B0434">
        <w:rPr>
          <w:rFonts w:ascii="Arial" w:hAnsi="Arial" w:cs="Arial"/>
          <w:b/>
          <w:sz w:val="20"/>
          <w:szCs w:val="20"/>
        </w:rPr>
        <w:t xml:space="preserve">(slovy: </w:t>
      </w:r>
      <w:proofErr w:type="spellStart"/>
      <w:r w:rsidR="000D06EF">
        <w:rPr>
          <w:rFonts w:ascii="Arial" w:hAnsi="Arial" w:cs="Arial"/>
          <w:b/>
          <w:sz w:val="20"/>
          <w:szCs w:val="20"/>
        </w:rPr>
        <w:t>pětsetsedmdesátčtyři</w:t>
      </w:r>
      <w:r w:rsidR="00660CB6">
        <w:rPr>
          <w:rFonts w:ascii="Arial" w:hAnsi="Arial" w:cs="Arial"/>
          <w:b/>
          <w:sz w:val="20"/>
          <w:szCs w:val="20"/>
        </w:rPr>
        <w:t>tisíc</w:t>
      </w:r>
      <w:r>
        <w:rPr>
          <w:rFonts w:ascii="Arial" w:hAnsi="Arial" w:cs="Arial"/>
          <w:b/>
          <w:sz w:val="20"/>
          <w:szCs w:val="20"/>
        </w:rPr>
        <w:t>korunčeských</w:t>
      </w:r>
      <w:proofErr w:type="spellEnd"/>
      <w:r w:rsidRPr="001B043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D2E78" w:rsidRPr="001B0434" w:rsidRDefault="002D2E78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B145BB" w:rsidRPr="00B145BB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</w:p>
    <w:p w:rsidR="00400DAA" w:rsidRPr="00554898" w:rsidRDefault="00B145BB" w:rsidP="0055489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výhradně k tomuto účelu:</w:t>
      </w:r>
      <w:r w:rsidR="003853AF">
        <w:rPr>
          <w:rFonts w:ascii="Arial" w:hAnsi="Arial" w:cs="Arial"/>
          <w:sz w:val="20"/>
          <w:szCs w:val="20"/>
        </w:rPr>
        <w:t xml:space="preserve"> </w:t>
      </w:r>
      <w:r w:rsidR="003853AF" w:rsidRPr="003853AF">
        <w:rPr>
          <w:rFonts w:ascii="Arial" w:hAnsi="Arial" w:cs="Arial"/>
          <w:sz w:val="20"/>
          <w:szCs w:val="20"/>
        </w:rPr>
        <w:t>na úhradu provozních a mzdových nákladů v souvislosti s</w:t>
      </w:r>
      <w:r w:rsidR="003853AF">
        <w:rPr>
          <w:rFonts w:ascii="Arial" w:hAnsi="Arial" w:cs="Arial"/>
          <w:sz w:val="20"/>
          <w:szCs w:val="20"/>
        </w:rPr>
        <w:t> </w:t>
      </w:r>
      <w:r w:rsidR="003853AF" w:rsidRPr="003853AF">
        <w:rPr>
          <w:rFonts w:ascii="Arial" w:hAnsi="Arial" w:cs="Arial"/>
          <w:sz w:val="20"/>
          <w:szCs w:val="20"/>
        </w:rPr>
        <w:t>poskytováním</w:t>
      </w:r>
      <w:r w:rsidR="003853AF">
        <w:rPr>
          <w:rFonts w:ascii="Arial" w:hAnsi="Arial" w:cs="Arial"/>
          <w:sz w:val="20"/>
          <w:szCs w:val="20"/>
        </w:rPr>
        <w:t xml:space="preserve"> služeb „hospicová péče“, „klub pro seniory“</w:t>
      </w:r>
      <w:r w:rsidR="00397A1B">
        <w:rPr>
          <w:rFonts w:ascii="Arial" w:hAnsi="Arial" w:cs="Arial"/>
          <w:sz w:val="20"/>
          <w:szCs w:val="20"/>
        </w:rPr>
        <w:t xml:space="preserve"> </w:t>
      </w:r>
      <w:r w:rsidR="00B94F4A">
        <w:rPr>
          <w:rFonts w:ascii="Arial" w:hAnsi="Arial" w:cs="Arial"/>
          <w:sz w:val="20"/>
          <w:szCs w:val="20"/>
        </w:rPr>
        <w:t>a</w:t>
      </w:r>
      <w:r w:rsidR="003853AF">
        <w:rPr>
          <w:rFonts w:ascii="Arial" w:hAnsi="Arial" w:cs="Arial"/>
          <w:sz w:val="20"/>
          <w:szCs w:val="20"/>
        </w:rPr>
        <w:t xml:space="preserve"> „mateřské centrum“</w:t>
      </w:r>
      <w:r w:rsidRPr="00B145BB">
        <w:rPr>
          <w:rFonts w:ascii="Arial" w:hAnsi="Arial" w:cs="Arial"/>
          <w:sz w:val="20"/>
          <w:szCs w:val="20"/>
        </w:rPr>
        <w:t>.</w:t>
      </w:r>
    </w:p>
    <w:p w:rsidR="00B145BB" w:rsidRPr="00B145BB" w:rsidRDefault="00B145BB" w:rsidP="00B145B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5BB">
        <w:rPr>
          <w:rFonts w:ascii="Arial" w:hAnsi="Arial"/>
          <w:sz w:val="20"/>
          <w:szCs w:val="20"/>
        </w:rPr>
        <w:t>Použití dotace musí být v souladu s projektem</w:t>
      </w:r>
      <w:r w:rsidRPr="00B145BB">
        <w:rPr>
          <w:rFonts w:ascii="Arial" w:hAnsi="Arial" w:cs="Arial"/>
          <w:sz w:val="20"/>
          <w:szCs w:val="20"/>
        </w:rPr>
        <w:t xml:space="preserve"> </w:t>
      </w:r>
      <w:r w:rsidRPr="00B145BB">
        <w:rPr>
          <w:rFonts w:ascii="Arial" w:hAnsi="Arial"/>
          <w:sz w:val="20"/>
          <w:szCs w:val="20"/>
        </w:rPr>
        <w:t xml:space="preserve">zaevidovaným poskytovatelem dotace pod číslem </w:t>
      </w:r>
      <w:r w:rsidR="005C0942">
        <w:rPr>
          <w:rFonts w:ascii="Arial" w:hAnsi="Arial"/>
          <w:sz w:val="20"/>
          <w:szCs w:val="20"/>
        </w:rPr>
        <w:t>14</w:t>
      </w:r>
      <w:r w:rsidRPr="00B145BB">
        <w:rPr>
          <w:rFonts w:ascii="Arial" w:hAnsi="Arial"/>
          <w:sz w:val="20"/>
          <w:szCs w:val="20"/>
        </w:rPr>
        <w:t xml:space="preserve"> v dotacích na </w:t>
      </w:r>
      <w:r w:rsidRPr="003109CD">
        <w:rPr>
          <w:rFonts w:ascii="Arial" w:hAnsi="Arial"/>
          <w:sz w:val="20"/>
          <w:szCs w:val="20"/>
        </w:rPr>
        <w:t xml:space="preserve">poskytování souvisejících služeb </w:t>
      </w:r>
      <w:r w:rsidRPr="003109CD">
        <w:rPr>
          <w:rFonts w:ascii="Arial" w:hAnsi="Arial" w:cs="Arial"/>
          <w:sz w:val="20"/>
          <w:szCs w:val="20"/>
        </w:rPr>
        <w:t>z ro</w:t>
      </w:r>
      <w:r w:rsidRPr="00B145BB">
        <w:rPr>
          <w:rFonts w:ascii="Arial" w:hAnsi="Arial" w:cs="Arial"/>
          <w:sz w:val="20"/>
          <w:szCs w:val="20"/>
        </w:rPr>
        <w:t xml:space="preserve">zpočtu statutárního města Opavy na rok 2016 s názvem: </w:t>
      </w:r>
    </w:p>
    <w:p w:rsidR="00B145BB" w:rsidRPr="00400DAA" w:rsidRDefault="005C0942" w:rsidP="00400DAA">
      <w:pPr>
        <w:pStyle w:val="Odstavecseseznamem"/>
        <w:widowControl w:val="0"/>
        <w:numPr>
          <w:ilvl w:val="1"/>
          <w:numId w:val="12"/>
        </w:numPr>
        <w:jc w:val="both"/>
        <w:rPr>
          <w:rFonts w:ascii="Arial" w:hAnsi="Arial"/>
          <w:sz w:val="20"/>
          <w:szCs w:val="20"/>
        </w:rPr>
      </w:pPr>
      <w:r w:rsidRPr="00400DAA">
        <w:rPr>
          <w:rFonts w:ascii="Arial" w:hAnsi="Arial"/>
          <w:sz w:val="20"/>
          <w:szCs w:val="20"/>
        </w:rPr>
        <w:t>Mobilní hospicová jednotka „Pokojný přístav“</w:t>
      </w:r>
      <w:r w:rsidR="00B145BB" w:rsidRPr="00400DAA">
        <w:rPr>
          <w:rFonts w:ascii="Arial" w:hAnsi="Arial"/>
          <w:sz w:val="20"/>
          <w:szCs w:val="20"/>
        </w:rPr>
        <w:t xml:space="preserve"> (část dotace ve výši </w:t>
      </w:r>
      <w:r w:rsidRPr="00400DAA">
        <w:rPr>
          <w:rFonts w:ascii="Arial" w:hAnsi="Arial"/>
          <w:sz w:val="20"/>
          <w:szCs w:val="20"/>
        </w:rPr>
        <w:t>550.000,00</w:t>
      </w:r>
      <w:r w:rsidR="00B145BB" w:rsidRPr="00400DAA">
        <w:rPr>
          <w:rFonts w:ascii="Arial" w:hAnsi="Arial"/>
          <w:sz w:val="20"/>
          <w:szCs w:val="20"/>
        </w:rPr>
        <w:t xml:space="preserve"> Kč),</w:t>
      </w:r>
    </w:p>
    <w:p w:rsidR="00B145BB" w:rsidRPr="00400DAA" w:rsidRDefault="000356F6" w:rsidP="00400DAA">
      <w:pPr>
        <w:pStyle w:val="Odstavecseseznamem"/>
        <w:widowControl w:val="0"/>
        <w:numPr>
          <w:ilvl w:val="1"/>
          <w:numId w:val="12"/>
        </w:numPr>
        <w:jc w:val="both"/>
        <w:rPr>
          <w:rFonts w:ascii="Arial" w:hAnsi="Arial"/>
          <w:sz w:val="20"/>
          <w:szCs w:val="20"/>
        </w:rPr>
      </w:pPr>
      <w:r w:rsidRPr="00400DAA">
        <w:rPr>
          <w:rFonts w:ascii="Arial" w:hAnsi="Arial" w:cs="Arial"/>
          <w:sz w:val="20"/>
          <w:szCs w:val="20"/>
        </w:rPr>
        <w:t xml:space="preserve">Klub sv. Anežky, klub seniorů Charity Opava </w:t>
      </w:r>
      <w:r w:rsidR="00B145BB" w:rsidRPr="00400DAA">
        <w:rPr>
          <w:rFonts w:ascii="Arial" w:hAnsi="Arial"/>
          <w:sz w:val="20"/>
          <w:szCs w:val="20"/>
        </w:rPr>
        <w:t xml:space="preserve">(část dotace ve výši </w:t>
      </w:r>
      <w:r w:rsidRPr="00400DAA">
        <w:rPr>
          <w:rFonts w:ascii="Arial" w:hAnsi="Arial"/>
          <w:sz w:val="20"/>
          <w:szCs w:val="20"/>
        </w:rPr>
        <w:t>12.000,00</w:t>
      </w:r>
      <w:r w:rsidR="00B145BB" w:rsidRPr="00400DAA">
        <w:rPr>
          <w:rFonts w:ascii="Arial" w:hAnsi="Arial"/>
          <w:sz w:val="20"/>
          <w:szCs w:val="20"/>
        </w:rPr>
        <w:t xml:space="preserve"> Kč),</w:t>
      </w:r>
    </w:p>
    <w:p w:rsidR="005C0942" w:rsidRPr="00400DAA" w:rsidRDefault="0079067B" w:rsidP="00400DAA">
      <w:pPr>
        <w:pStyle w:val="Odstavecseseznamem"/>
        <w:widowControl w:val="0"/>
        <w:numPr>
          <w:ilvl w:val="1"/>
          <w:numId w:val="12"/>
        </w:numPr>
        <w:jc w:val="both"/>
        <w:rPr>
          <w:rFonts w:ascii="Arial" w:hAnsi="Arial"/>
          <w:sz w:val="20"/>
          <w:szCs w:val="20"/>
        </w:rPr>
      </w:pPr>
      <w:r w:rsidRPr="00400DAA">
        <w:rPr>
          <w:rFonts w:ascii="Arial" w:hAnsi="Arial"/>
          <w:sz w:val="20"/>
          <w:szCs w:val="20"/>
        </w:rPr>
        <w:t xml:space="preserve">Mateřské centrum </w:t>
      </w:r>
      <w:proofErr w:type="spellStart"/>
      <w:r w:rsidRPr="00400DAA">
        <w:rPr>
          <w:rFonts w:ascii="Arial" w:hAnsi="Arial"/>
          <w:sz w:val="20"/>
          <w:szCs w:val="20"/>
        </w:rPr>
        <w:t>Neškola</w:t>
      </w:r>
      <w:proofErr w:type="spellEnd"/>
      <w:r w:rsidRPr="00400DAA">
        <w:rPr>
          <w:rFonts w:ascii="Arial" w:hAnsi="Arial"/>
          <w:sz w:val="20"/>
          <w:szCs w:val="20"/>
        </w:rPr>
        <w:t xml:space="preserve"> (část dotace ve výši 12.000,00</w:t>
      </w:r>
      <w:r w:rsidR="005C0942" w:rsidRPr="00400DAA">
        <w:rPr>
          <w:rFonts w:ascii="Arial" w:hAnsi="Arial"/>
          <w:sz w:val="20"/>
          <w:szCs w:val="20"/>
        </w:rPr>
        <w:t xml:space="preserve"> Kč).</w:t>
      </w:r>
    </w:p>
    <w:p w:rsidR="00B145BB" w:rsidRPr="0080189F" w:rsidRDefault="00B145BB" w:rsidP="00B145BB">
      <w:pPr>
        <w:widowControl w:val="0"/>
        <w:ind w:left="4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80189F">
        <w:rPr>
          <w:rFonts w:ascii="Arial" w:hAnsi="Arial"/>
          <w:sz w:val="20"/>
          <w:szCs w:val="20"/>
        </w:rPr>
        <w:t xml:space="preserve">ouvisející službou se rozumí služba či aktivita poskytovaná v sociální oblasti, u které lze výstupy objektivně kvantifikovat dle Manuálu pro vykazování ukazatelů v sociálních službách </w:t>
      </w:r>
      <w:r w:rsidR="00EC13A8">
        <w:rPr>
          <w:rFonts w:ascii="Arial" w:hAnsi="Arial"/>
          <w:sz w:val="20"/>
          <w:szCs w:val="20"/>
        </w:rPr>
        <w:br/>
        <w:t>a souvisejících aktivitách ve s</w:t>
      </w:r>
      <w:r w:rsidRPr="0080189F">
        <w:rPr>
          <w:rFonts w:ascii="Arial" w:hAnsi="Arial"/>
          <w:sz w:val="20"/>
          <w:szCs w:val="20"/>
        </w:rPr>
        <w:t>tatutárním městě Opava</w:t>
      </w:r>
      <w:r>
        <w:rPr>
          <w:rFonts w:ascii="Arial" w:hAnsi="Arial"/>
          <w:sz w:val="20"/>
          <w:szCs w:val="20"/>
        </w:rPr>
        <w:t xml:space="preserve"> (dále také jen „</w:t>
      </w:r>
      <w:r w:rsidRPr="00B145BB">
        <w:rPr>
          <w:rFonts w:ascii="Arial" w:hAnsi="Arial"/>
          <w:b/>
          <w:sz w:val="20"/>
          <w:szCs w:val="20"/>
        </w:rPr>
        <w:t>Manuál</w:t>
      </w:r>
      <w:r>
        <w:rPr>
          <w:rFonts w:ascii="Arial" w:hAnsi="Arial"/>
          <w:sz w:val="20"/>
          <w:szCs w:val="20"/>
        </w:rPr>
        <w:t>“)</w:t>
      </w:r>
      <w:r w:rsidRPr="0080189F">
        <w:rPr>
          <w:rFonts w:ascii="Arial" w:hAnsi="Arial"/>
          <w:sz w:val="20"/>
          <w:szCs w:val="20"/>
        </w:rPr>
        <w:t xml:space="preserve">, který je přílohou č. 1 </w:t>
      </w:r>
      <w:r>
        <w:rPr>
          <w:rFonts w:ascii="Arial" w:hAnsi="Arial"/>
          <w:sz w:val="20"/>
          <w:szCs w:val="20"/>
        </w:rPr>
        <w:t>Zásad</w:t>
      </w:r>
      <w:r w:rsidRPr="0080189F">
        <w:rPr>
          <w:rFonts w:ascii="Arial" w:hAnsi="Arial"/>
          <w:sz w:val="20"/>
          <w:szCs w:val="20"/>
        </w:rPr>
        <w:t xml:space="preserve"> pro poskytování účelových dotací na poskytování sociálních a souvisejících služeb z rozpočtu statutárního města Opavy na rok 2016, schválených Zastupitelstvem statutárního města Opavy dne </w:t>
      </w:r>
      <w:proofErr w:type="gramStart"/>
      <w:r w:rsidRPr="0080189F">
        <w:rPr>
          <w:rFonts w:ascii="Arial" w:hAnsi="Arial"/>
          <w:sz w:val="20"/>
          <w:szCs w:val="20"/>
        </w:rPr>
        <w:t>22.</w:t>
      </w:r>
      <w:r w:rsidR="00EC13A8">
        <w:rPr>
          <w:rFonts w:ascii="Arial" w:hAnsi="Arial"/>
          <w:sz w:val="20"/>
          <w:szCs w:val="20"/>
        </w:rPr>
        <w:t>0</w:t>
      </w:r>
      <w:r w:rsidRPr="0080189F">
        <w:rPr>
          <w:rFonts w:ascii="Arial" w:hAnsi="Arial"/>
          <w:sz w:val="20"/>
          <w:szCs w:val="20"/>
        </w:rPr>
        <w:t>6.2015</w:t>
      </w:r>
      <w:proofErr w:type="gramEnd"/>
      <w:r w:rsidRPr="0080189F">
        <w:rPr>
          <w:rFonts w:ascii="Arial" w:hAnsi="Arial"/>
          <w:sz w:val="20"/>
          <w:szCs w:val="20"/>
        </w:rPr>
        <w:t xml:space="preserve"> usnesením č. 125/7 ZM 15, ve znění jejich pozdějších změn </w:t>
      </w:r>
      <w:r w:rsidR="00EC13A8">
        <w:rPr>
          <w:rFonts w:ascii="Arial" w:hAnsi="Arial"/>
          <w:sz w:val="20"/>
          <w:szCs w:val="20"/>
        </w:rPr>
        <w:br/>
      </w:r>
      <w:r w:rsidRPr="0080189F">
        <w:rPr>
          <w:rFonts w:ascii="Arial" w:hAnsi="Arial"/>
          <w:sz w:val="20"/>
          <w:szCs w:val="20"/>
        </w:rPr>
        <w:t>a doplňků (dále jen „</w:t>
      </w:r>
      <w:r w:rsidRPr="00B145BB">
        <w:rPr>
          <w:rFonts w:ascii="Arial" w:hAnsi="Arial"/>
          <w:b/>
          <w:sz w:val="20"/>
          <w:szCs w:val="20"/>
        </w:rPr>
        <w:t>Zásady</w:t>
      </w:r>
      <w:r w:rsidRPr="0080189F">
        <w:rPr>
          <w:rFonts w:ascii="Arial" w:hAnsi="Arial"/>
          <w:sz w:val="20"/>
          <w:szCs w:val="20"/>
        </w:rPr>
        <w:t>“).</w:t>
      </w:r>
    </w:p>
    <w:p w:rsidR="00B145BB" w:rsidRPr="00B145BB" w:rsidRDefault="00B145BB" w:rsidP="00B145B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5BB">
        <w:rPr>
          <w:rFonts w:ascii="Arial" w:hAnsi="Arial" w:cs="Arial"/>
          <w:sz w:val="20"/>
          <w:szCs w:val="20"/>
        </w:rPr>
        <w:t xml:space="preserve">Příjemce dotace je dále povinen dodržet podmínky stanovené v Zásadách. Příjemce v této souvislosti prohlašuje, že se před uzavřením smlouvy se Zásadami důkladně seznámil a všem ustanovením tohoto dokumentu rozumí.   </w:t>
      </w:r>
    </w:p>
    <w:p w:rsidR="009151E0" w:rsidRDefault="009151E0" w:rsidP="00400DAA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2D2E78" w:rsidRDefault="006C55FC" w:rsidP="002D2E78">
      <w:pPr>
        <w:jc w:val="both"/>
        <w:rPr>
          <w:rFonts w:ascii="Arial" w:hAnsi="Arial" w:cs="Arial"/>
          <w:sz w:val="20"/>
          <w:szCs w:val="20"/>
        </w:rPr>
      </w:pPr>
      <w:r w:rsidRPr="00447507">
        <w:rPr>
          <w:rFonts w:ascii="Arial" w:hAnsi="Arial" w:cs="Arial"/>
          <w:iCs/>
          <w:sz w:val="20"/>
          <w:szCs w:val="20"/>
        </w:rPr>
        <w:t xml:space="preserve">Příjemce je povinen dotaci použít </w:t>
      </w:r>
      <w:r>
        <w:rPr>
          <w:rFonts w:ascii="Arial" w:hAnsi="Arial" w:cs="Arial"/>
          <w:iCs/>
          <w:sz w:val="20"/>
          <w:szCs w:val="20"/>
        </w:rPr>
        <w:t>do</w:t>
      </w:r>
      <w:r w:rsidRPr="00447507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1.01.201</w:t>
      </w:r>
      <w:r>
        <w:rPr>
          <w:rFonts w:ascii="Arial" w:hAnsi="Arial" w:cs="Arial"/>
          <w:iCs/>
          <w:sz w:val="20"/>
          <w:szCs w:val="20"/>
        </w:rPr>
        <w:t>7</w:t>
      </w:r>
      <w:proofErr w:type="gramEnd"/>
      <w:r>
        <w:rPr>
          <w:rFonts w:ascii="Arial" w:hAnsi="Arial" w:cs="Arial"/>
          <w:iCs/>
          <w:sz w:val="20"/>
          <w:szCs w:val="20"/>
        </w:rPr>
        <w:t>,</w:t>
      </w:r>
      <w:r w:rsidRPr="00447507">
        <w:rPr>
          <w:rFonts w:ascii="Arial" w:hAnsi="Arial" w:cs="Arial"/>
          <w:iCs/>
          <w:sz w:val="20"/>
          <w:szCs w:val="20"/>
        </w:rPr>
        <w:t xml:space="preserve"> a to pouze na úhradu nákladů vzniklých </w:t>
      </w:r>
      <w:r>
        <w:rPr>
          <w:rFonts w:ascii="Arial" w:hAnsi="Arial" w:cs="Arial"/>
          <w:iCs/>
          <w:sz w:val="20"/>
          <w:szCs w:val="20"/>
        </w:rPr>
        <w:t xml:space="preserve">v období </w:t>
      </w:r>
      <w:r w:rsidR="00EC13A8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od 01.01.2016 </w:t>
      </w:r>
      <w:r w:rsidRPr="00447507">
        <w:rPr>
          <w:rFonts w:ascii="Arial" w:hAnsi="Arial" w:cs="Arial"/>
          <w:iCs/>
          <w:sz w:val="20"/>
          <w:szCs w:val="20"/>
        </w:rPr>
        <w:t>do 31.12.2016.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3109CD" w:rsidRPr="0057397E" w:rsidRDefault="006C55FC" w:rsidP="0057397E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 xml:space="preserve">Dotace bude poskytnuta bezhotovostním převodem z účtu poskytovatele na účet příjemce uvedený v článku I. této smlouvy v </w:t>
      </w:r>
      <w:r w:rsidR="003109CD" w:rsidRPr="003109CD">
        <w:rPr>
          <w:rFonts w:ascii="Arial" w:hAnsi="Arial" w:cs="Arial"/>
          <w:sz w:val="20"/>
          <w:szCs w:val="20"/>
        </w:rPr>
        <w:t>devíti</w:t>
      </w:r>
      <w:r w:rsidRPr="003109CD">
        <w:rPr>
          <w:rFonts w:ascii="Arial" w:hAnsi="Arial" w:cs="Arial"/>
          <w:sz w:val="20"/>
          <w:szCs w:val="20"/>
        </w:rPr>
        <w:t xml:space="preserve"> splátkách</w:t>
      </w:r>
      <w:r w:rsidR="00B145BB" w:rsidRPr="003109CD">
        <w:rPr>
          <w:rFonts w:ascii="Arial" w:hAnsi="Arial" w:cs="Arial"/>
          <w:sz w:val="20"/>
          <w:szCs w:val="20"/>
        </w:rPr>
        <w:t xml:space="preserve">, a to: první splátka ve výši </w:t>
      </w:r>
      <w:r w:rsidR="0057397E">
        <w:rPr>
          <w:rFonts w:ascii="Arial" w:hAnsi="Arial" w:cs="Arial"/>
          <w:sz w:val="20"/>
          <w:szCs w:val="20"/>
        </w:rPr>
        <w:t>191.200,00</w:t>
      </w:r>
      <w:r w:rsidR="00B145BB" w:rsidRPr="003109CD">
        <w:rPr>
          <w:rFonts w:ascii="Arial" w:hAnsi="Arial" w:cs="Arial"/>
          <w:sz w:val="20"/>
          <w:szCs w:val="20"/>
        </w:rPr>
        <w:t xml:space="preserve"> Kč </w:t>
      </w:r>
      <w:r w:rsidR="0057397E">
        <w:rPr>
          <w:rFonts w:ascii="Arial" w:hAnsi="Arial" w:cs="Arial"/>
          <w:sz w:val="20"/>
          <w:szCs w:val="20"/>
        </w:rPr>
        <w:br/>
      </w:r>
      <w:r w:rsidR="00B145BB" w:rsidRPr="003109CD">
        <w:rPr>
          <w:rFonts w:ascii="Arial" w:hAnsi="Arial" w:cs="Arial"/>
          <w:sz w:val="20"/>
          <w:szCs w:val="20"/>
        </w:rPr>
        <w:lastRenderedPageBreak/>
        <w:t xml:space="preserve">do </w:t>
      </w:r>
      <w:r w:rsidR="003109CD">
        <w:rPr>
          <w:rFonts w:ascii="Arial" w:hAnsi="Arial" w:cs="Arial"/>
          <w:sz w:val="20"/>
          <w:szCs w:val="20"/>
        </w:rPr>
        <w:t xml:space="preserve">deseti dnů ode dne uzavření </w:t>
      </w:r>
      <w:r w:rsidR="003109CD" w:rsidRPr="003109CD">
        <w:rPr>
          <w:rFonts w:ascii="Arial" w:hAnsi="Arial" w:cs="Arial"/>
          <w:sz w:val="20"/>
          <w:szCs w:val="20"/>
        </w:rPr>
        <w:t>této smlouvy</w:t>
      </w:r>
      <w:r w:rsidR="00F20D09">
        <w:rPr>
          <w:rFonts w:ascii="Arial" w:hAnsi="Arial" w:cs="Arial"/>
          <w:sz w:val="20"/>
          <w:szCs w:val="20"/>
        </w:rPr>
        <w:t xml:space="preserve">, druhá splátka ve výši 47.800,00 Kč do 31. 5. 2016, </w:t>
      </w:r>
      <w:r w:rsidR="00B145BB" w:rsidRPr="003109CD">
        <w:rPr>
          <w:rFonts w:ascii="Arial" w:hAnsi="Arial" w:cs="Arial"/>
          <w:sz w:val="20"/>
          <w:szCs w:val="20"/>
        </w:rPr>
        <w:t xml:space="preserve">následující splátky ve výši </w:t>
      </w:r>
      <w:r w:rsidR="00C44DA1">
        <w:rPr>
          <w:rFonts w:ascii="Arial" w:hAnsi="Arial" w:cs="Arial"/>
          <w:sz w:val="20"/>
          <w:szCs w:val="20"/>
        </w:rPr>
        <w:t>47.800,00</w:t>
      </w:r>
      <w:r w:rsidR="00B145BB" w:rsidRPr="003109CD">
        <w:rPr>
          <w:rFonts w:ascii="Arial" w:hAnsi="Arial" w:cs="Arial"/>
          <w:sz w:val="20"/>
          <w:szCs w:val="20"/>
        </w:rPr>
        <w:t xml:space="preserve"> Kč vždy do 10. dne kalendářního měsíce počínaje měsícem </w:t>
      </w:r>
      <w:r w:rsidR="00F20D09">
        <w:rPr>
          <w:rFonts w:ascii="Arial" w:hAnsi="Arial" w:cs="Arial"/>
          <w:sz w:val="20"/>
          <w:szCs w:val="20"/>
        </w:rPr>
        <w:t xml:space="preserve">červnem </w:t>
      </w:r>
      <w:r w:rsidR="00400DAA">
        <w:rPr>
          <w:rFonts w:ascii="Arial" w:hAnsi="Arial" w:cs="Arial"/>
          <w:sz w:val="20"/>
          <w:szCs w:val="20"/>
        </w:rPr>
        <w:t>2016</w:t>
      </w:r>
      <w:r w:rsidR="00F20D09">
        <w:rPr>
          <w:rFonts w:ascii="Arial" w:hAnsi="Arial" w:cs="Arial"/>
          <w:sz w:val="20"/>
          <w:szCs w:val="20"/>
        </w:rPr>
        <w:t xml:space="preserve"> a</w:t>
      </w:r>
      <w:r w:rsidR="00B145BB" w:rsidRPr="003109CD">
        <w:rPr>
          <w:rFonts w:ascii="Arial" w:hAnsi="Arial" w:cs="Arial"/>
          <w:sz w:val="20"/>
          <w:szCs w:val="20"/>
        </w:rPr>
        <w:t xml:space="preserve"> </w:t>
      </w:r>
      <w:r w:rsidR="003109CD">
        <w:rPr>
          <w:rFonts w:ascii="Arial" w:hAnsi="Arial" w:cs="Arial"/>
          <w:sz w:val="20"/>
          <w:szCs w:val="20"/>
        </w:rPr>
        <w:t>devátá</w:t>
      </w:r>
      <w:r w:rsidR="00B145BB" w:rsidRPr="003109CD">
        <w:rPr>
          <w:rFonts w:ascii="Arial" w:hAnsi="Arial" w:cs="Arial"/>
          <w:sz w:val="20"/>
          <w:szCs w:val="20"/>
        </w:rPr>
        <w:t xml:space="preserve"> splátka ve výši </w:t>
      </w:r>
      <w:r w:rsidR="00F931E9">
        <w:rPr>
          <w:rFonts w:ascii="Arial" w:hAnsi="Arial" w:cs="Arial"/>
          <w:sz w:val="20"/>
          <w:szCs w:val="20"/>
        </w:rPr>
        <w:t>48.200,00</w:t>
      </w:r>
      <w:r w:rsidR="00B145BB" w:rsidRPr="003109CD">
        <w:rPr>
          <w:rFonts w:ascii="Arial" w:hAnsi="Arial" w:cs="Arial"/>
          <w:sz w:val="20"/>
          <w:szCs w:val="20"/>
        </w:rPr>
        <w:t xml:space="preserve"> Kč do </w:t>
      </w:r>
      <w:proofErr w:type="gramStart"/>
      <w:r w:rsidR="00B145BB" w:rsidRPr="003109CD">
        <w:rPr>
          <w:rFonts w:ascii="Arial" w:hAnsi="Arial" w:cs="Arial"/>
          <w:sz w:val="20"/>
          <w:szCs w:val="20"/>
        </w:rPr>
        <w:t>10.12.2016</w:t>
      </w:r>
      <w:proofErr w:type="gramEnd"/>
      <w:r w:rsidR="00B145BB" w:rsidRPr="003109CD">
        <w:rPr>
          <w:rFonts w:ascii="Arial" w:hAnsi="Arial" w:cs="Arial"/>
          <w:sz w:val="20"/>
          <w:szCs w:val="20"/>
        </w:rPr>
        <w:t>.</w:t>
      </w:r>
    </w:p>
    <w:p w:rsidR="006C55FC" w:rsidRPr="00554898" w:rsidRDefault="00B145BB" w:rsidP="006C55F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:rsidR="002D2E78" w:rsidRPr="003109CD" w:rsidRDefault="002D2E78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Článek VIII.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oprávněn dotaci či její část příjemci neposkytnout a/nebo tuto smlouvu vypovědět v případě, že existují důvodné pochybnosti o tom, že příjemce použije dotaci řádně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ke stanovenému účelu. V případě neposkytnutí dotace či její části, bude příjemce písemně informován poskytovatelem o důvodech neposkytnutí. V případě výpovědi smlouvy je příjemce povinen již poskytnutou dotaci v plné výši vrátit poskytovateli ve lhůtě stanovené poskytovatelem v písemné výpovědi smlouvy, v níž budou dále uvedeny důvody takovéto výpovědi. Výpovědní doba činí 7 kalendářních dnů a počíná běžet dnem následujícím po dni doručení výpovědi příjemci dotace.</w:t>
      </w:r>
    </w:p>
    <w:p w:rsidR="006C55FC" w:rsidRDefault="006C55FC" w:rsidP="006C55F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:rsidR="006C55FC" w:rsidRDefault="006C55FC" w:rsidP="00B4617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příjemce nevyužije veškeré peněžní prostředky tvořící dotaci, je povinen nevyužitou část dotace vrátit ve lhůtě do 7 dnů ode dne předložení vyúčtování dotace, nejpozději však do 7 dnů od uplynutí stanovené lhůty pro předložení vyúčtování dotace, na tento účet poskytovatele:</w:t>
      </w:r>
      <w:r w:rsidR="00605992">
        <w:rPr>
          <w:rFonts w:ascii="Arial" w:hAnsi="Arial" w:cs="Arial"/>
          <w:sz w:val="20"/>
          <w:szCs w:val="20"/>
        </w:rPr>
        <w:t xml:space="preserve">1842619349/0800 </w:t>
      </w:r>
      <w:r>
        <w:rPr>
          <w:rFonts w:ascii="Arial" w:hAnsi="Arial" w:cs="Arial"/>
          <w:sz w:val="20"/>
          <w:szCs w:val="20"/>
        </w:rPr>
        <w:t xml:space="preserve">s variabilním symbolem, pod kterým byla dotace poskytnuta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 poznámkou pro poskytovatele (v příkazu k úhradě označeného jako příjemce platby),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že se jedná o vratku dotace.  </w:t>
      </w:r>
    </w:p>
    <w:p w:rsidR="00B145BB" w:rsidRPr="00B145BB" w:rsidRDefault="006C55FC" w:rsidP="00B145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 poskytnuté dotace příjemce nesmí hradit tyto náklady (tzv. neuz</w:t>
      </w:r>
      <w:r w:rsidR="00B145BB">
        <w:rPr>
          <w:rFonts w:ascii="Arial" w:hAnsi="Arial" w:cs="Arial"/>
          <w:sz w:val="20"/>
          <w:szCs w:val="20"/>
        </w:rPr>
        <w:t>natelné náklady) a tyto úhrady: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4.1. nesouvisející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4.2. výdaje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4.3. odpisy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majetku a ostatní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spadající pod účtovou skupinu 55</w:t>
      </w:r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4.4. na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reprezentaci, výdaje na alkohol a tabákové výrobky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4.5. na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nad rámec zákona č. 262/2006 Sb., zákoník práce, či plynoucí mimo tento zákon.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4.6. ostatní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na rekreaci apod</w:t>
      </w:r>
      <w:r w:rsidR="009B5221"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4.7. členské poplatky/příspěvky v institucích/asociacích a jiné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 xml:space="preserve">spadající pod účtovou skupinu </w:t>
      </w:r>
      <w:proofErr w:type="gramStart"/>
      <w:r w:rsidRPr="00EF7511">
        <w:rPr>
          <w:rFonts w:ascii="Arial" w:hAnsi="Arial" w:cs="Arial"/>
          <w:sz w:val="20"/>
          <w:szCs w:val="20"/>
        </w:rPr>
        <w:t>č.58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4.8. splátky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finančních závazků (úvěry, zápůjčky a pod) a leasingové splátky</w:t>
      </w:r>
      <w:r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4.9. daně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a poplatky –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účtová skupina č.</w:t>
      </w:r>
      <w:r w:rsidR="00554898">
        <w:rPr>
          <w:rFonts w:ascii="Arial" w:hAnsi="Arial" w:cs="Arial"/>
          <w:sz w:val="20"/>
          <w:szCs w:val="20"/>
        </w:rPr>
        <w:t xml:space="preserve"> </w:t>
      </w:r>
      <w:r w:rsidRPr="00EF7511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daň silniční, daň z nemovitostí, ostatní daně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poplatky (tj. daň darovací, daň dědická, daň z  nemovitých věcí, soudní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správní poplatky, poplatky za znečištění ovzduší, poplatky za televizi a rozhlas apod.),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4.10</w:t>
      </w:r>
      <w:proofErr w:type="gramEnd"/>
      <w:r w:rsidRPr="00EF7511">
        <w:rPr>
          <w:rFonts w:ascii="Arial" w:hAnsi="Arial" w:cs="Arial"/>
          <w:sz w:val="20"/>
          <w:szCs w:val="20"/>
        </w:rPr>
        <w:t>. DPH o jejíž vrácení je možné podle příslušného právního předpisu žádat,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4.11. smluvní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 xml:space="preserve">za právní služby a zastoupení,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4.12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tvorba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kapitálového jmění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4.13. nespecifikované výdaje (tj. výdaje, které nelze účetně doložit).</w:t>
      </w:r>
    </w:p>
    <w:p w:rsidR="006C55FC" w:rsidRPr="00EF7511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Doklady</w:t>
      </w:r>
      <w:r w:rsidRPr="00EF7511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>
        <w:rPr>
          <w:rFonts w:ascii="Arial" w:hAnsi="Arial" w:cs="Arial"/>
          <w:iCs/>
          <w:sz w:val="20"/>
          <w:szCs w:val="20"/>
        </w:rPr>
        <w:t xml:space="preserve">. </w:t>
      </w:r>
      <w:r w:rsidRPr="00EF7511">
        <w:rPr>
          <w:rFonts w:ascii="Arial" w:hAnsi="Arial" w:cs="Arial"/>
          <w:iCs/>
          <w:sz w:val="20"/>
          <w:szCs w:val="20"/>
        </w:rPr>
        <w:t xml:space="preserve">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EF7511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skutečnosti, které mohou mít vliv na řádné plnění jeho povinností dle této smlouvy, jakož i změnu v identifikačních údajích příjemce a v jeho statutárních orgánech. 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5A5149">
        <w:rPr>
          <w:rFonts w:ascii="Arial" w:hAnsi="Arial" w:cs="Arial"/>
          <w:iCs/>
          <w:sz w:val="20"/>
          <w:szCs w:val="20"/>
        </w:rPr>
        <w:lastRenderedPageBreak/>
        <w:t>Příjemce je povinen o poskytnutí dotace poskytovatelem vhodným způsobem informovat veřejnost, např. prostřednictvím médií, na internetu, v interních nebo výročních zprávách,</w:t>
      </w:r>
      <w:r w:rsidR="006F7941">
        <w:rPr>
          <w:rFonts w:ascii="Arial" w:hAnsi="Arial" w:cs="Arial"/>
          <w:iCs/>
          <w:sz w:val="20"/>
          <w:szCs w:val="20"/>
        </w:rPr>
        <w:t xml:space="preserve"> během konferencí </w:t>
      </w:r>
      <w:r w:rsidRPr="005A5149">
        <w:rPr>
          <w:rFonts w:ascii="Arial" w:hAnsi="Arial" w:cs="Arial"/>
          <w:iCs/>
          <w:sz w:val="20"/>
          <w:szCs w:val="20"/>
        </w:rPr>
        <w:t xml:space="preserve">a seminářů apod. Při této prezentaci, a výhradně pro tento účel, je příjemce </w:t>
      </w:r>
      <w:r w:rsidR="00F04C33">
        <w:rPr>
          <w:rFonts w:ascii="Arial" w:hAnsi="Arial" w:cs="Arial"/>
          <w:iCs/>
          <w:sz w:val="20"/>
          <w:szCs w:val="20"/>
        </w:rPr>
        <w:t>oprávněn použít oficiální logo s</w:t>
      </w:r>
      <w:r w:rsidRPr="005A5149">
        <w:rPr>
          <w:rFonts w:ascii="Arial" w:hAnsi="Arial" w:cs="Arial"/>
          <w:iCs/>
          <w:sz w:val="20"/>
          <w:szCs w:val="20"/>
        </w:rPr>
        <w:t xml:space="preserve">tatutárního města Opavy, jehož grafickou podobu poskytovatel příjemci </w:t>
      </w:r>
      <w:r w:rsidR="0073501E">
        <w:rPr>
          <w:rFonts w:ascii="Arial" w:hAnsi="Arial" w:cs="Arial"/>
          <w:iCs/>
          <w:sz w:val="20"/>
          <w:szCs w:val="20"/>
        </w:rPr>
        <w:br/>
      </w:r>
      <w:r w:rsidRPr="005A5149">
        <w:rPr>
          <w:rFonts w:ascii="Arial" w:hAnsi="Arial" w:cs="Arial"/>
          <w:iCs/>
          <w:sz w:val="20"/>
          <w:szCs w:val="20"/>
        </w:rPr>
        <w:t>na jeho žádost poskytne.</w:t>
      </w:r>
    </w:p>
    <w:p w:rsidR="006F7941" w:rsidRPr="001F4A0A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1F4A0A">
        <w:rPr>
          <w:rFonts w:ascii="Arial" w:hAnsi="Arial" w:cs="Arial"/>
          <w:iCs/>
          <w:sz w:val="20"/>
          <w:szCs w:val="20"/>
        </w:rPr>
        <w:t xml:space="preserve">Příjemce je povinen vést v účetnictví odděleně sledování finančních prostředků poskytnutých </w:t>
      </w:r>
      <w:r w:rsidR="0073501E">
        <w:rPr>
          <w:rFonts w:ascii="Arial" w:hAnsi="Arial" w:cs="Arial"/>
          <w:iCs/>
          <w:sz w:val="20"/>
          <w:szCs w:val="20"/>
        </w:rPr>
        <w:br/>
      </w:r>
      <w:r w:rsidRPr="001F4A0A">
        <w:rPr>
          <w:rFonts w:ascii="Arial" w:hAnsi="Arial" w:cs="Arial"/>
          <w:iCs/>
          <w:sz w:val="20"/>
          <w:szCs w:val="20"/>
        </w:rPr>
        <w:t xml:space="preserve">na základě dotace v souladu s obecně závaznými předpisy, zejména zákonem č. 563/1991 S., </w:t>
      </w:r>
      <w:r w:rsidR="0073501E">
        <w:rPr>
          <w:rFonts w:ascii="Arial" w:hAnsi="Arial" w:cs="Arial"/>
          <w:iCs/>
          <w:sz w:val="20"/>
          <w:szCs w:val="20"/>
        </w:rPr>
        <w:br/>
      </w:r>
      <w:r w:rsidRPr="001F4A0A">
        <w:rPr>
          <w:rFonts w:ascii="Arial" w:hAnsi="Arial" w:cs="Arial"/>
          <w:iCs/>
          <w:sz w:val="20"/>
          <w:szCs w:val="20"/>
        </w:rPr>
        <w:t xml:space="preserve">o účetnictví, ve znění pozdějších předpisů. </w:t>
      </w:r>
    </w:p>
    <w:p w:rsid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6F7941" w:rsidRP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Příjemce se dále zavazuje: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sledovat po celou dobu realizace projektu poskytovatelem </w:t>
      </w:r>
      <w:r w:rsidR="0073501E">
        <w:rPr>
          <w:rFonts w:ascii="Arial" w:hAnsi="Arial" w:cs="Arial"/>
          <w:iCs/>
          <w:sz w:val="20"/>
          <w:szCs w:val="20"/>
        </w:rPr>
        <w:t>stanovené ukazatele v souvisejících</w:t>
      </w:r>
      <w:bookmarkStart w:id="0" w:name="_GoBack"/>
      <w:bookmarkEnd w:id="0"/>
      <w:r w:rsidRPr="006F7941">
        <w:rPr>
          <w:rFonts w:ascii="Arial" w:hAnsi="Arial" w:cs="Arial"/>
          <w:iCs/>
          <w:sz w:val="20"/>
          <w:szCs w:val="20"/>
        </w:rPr>
        <w:t xml:space="preserve"> službách, vykazovat jejich skutečné hodnoty v rámci zpráv o realizaci projektu (v souladu s Manuálem, který je přílohou </w:t>
      </w:r>
      <w:proofErr w:type="gramStart"/>
      <w:r w:rsidRPr="006F7941">
        <w:rPr>
          <w:rFonts w:ascii="Arial" w:hAnsi="Arial" w:cs="Arial"/>
          <w:iCs/>
          <w:sz w:val="20"/>
          <w:szCs w:val="20"/>
        </w:rPr>
        <w:t>č. 1 Zásad</w:t>
      </w:r>
      <w:proofErr w:type="gramEnd"/>
      <w:r w:rsidRPr="006F7941">
        <w:rPr>
          <w:rFonts w:ascii="Arial" w:hAnsi="Arial" w:cs="Arial"/>
          <w:iCs/>
          <w:sz w:val="20"/>
          <w:szCs w:val="20"/>
        </w:rPr>
        <w:t>) nebo na vyžádání poskytovatele dle pokynů zveřejně</w:t>
      </w:r>
      <w:r>
        <w:rPr>
          <w:rFonts w:ascii="Arial" w:hAnsi="Arial" w:cs="Arial"/>
          <w:iCs/>
          <w:sz w:val="20"/>
          <w:szCs w:val="20"/>
        </w:rPr>
        <w:t>ných na jeho webových stránkách,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sdělovat na základě požadavku poskytovateli další doplňující informace s</w:t>
      </w:r>
      <w:r>
        <w:rPr>
          <w:rFonts w:ascii="Arial" w:hAnsi="Arial" w:cs="Arial"/>
          <w:iCs/>
          <w:sz w:val="20"/>
          <w:szCs w:val="20"/>
        </w:rPr>
        <w:t>ouvisející s realizací projektu,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realizovat projekt vlastním jménem, na vlastní účet a vlastní odpovědnost a </w:t>
      </w:r>
      <w:r>
        <w:rPr>
          <w:rFonts w:ascii="Arial" w:hAnsi="Arial" w:cs="Arial"/>
          <w:iCs/>
          <w:sz w:val="20"/>
          <w:szCs w:val="20"/>
        </w:rPr>
        <w:t xml:space="preserve">naplnit účelové určení projektu, </w:t>
      </w:r>
    </w:p>
    <w:p w:rsidR="00B145BB" w:rsidRPr="00DB67C0" w:rsidRDefault="006F7941" w:rsidP="00DB67C0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nepřevést svá práva a povinnosti z této smlouvy na jinou fyzickou nebo právnickou osobu, ani tuto smlouvu postoupit.</w:t>
      </w:r>
    </w:p>
    <w:p w:rsidR="002D2E78" w:rsidRPr="00EF7511" w:rsidRDefault="002D2E78" w:rsidP="006C55FC">
      <w:pPr>
        <w:jc w:val="both"/>
        <w:rPr>
          <w:rFonts w:ascii="Arial" w:hAnsi="Arial" w:cs="Arial"/>
          <w:iCs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Článek IX.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EF7511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9B5221" w:rsidRDefault="006C55FC" w:rsidP="009B522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</w:t>
      </w:r>
      <w:r w:rsidR="00B66EE6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d</w:t>
      </w:r>
      <w:r w:rsidR="00B66EE6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9B5221">
        <w:rPr>
          <w:rFonts w:ascii="Arial" w:hAnsi="Arial" w:cs="Arial"/>
          <w:sz w:val="20"/>
          <w:szCs w:val="20"/>
        </w:rPr>
        <w:t>31.01.2017</w:t>
      </w:r>
      <w:proofErr w:type="gramEnd"/>
      <w:r w:rsidRPr="009B5221">
        <w:rPr>
          <w:rFonts w:ascii="Arial" w:hAnsi="Arial" w:cs="Arial"/>
          <w:sz w:val="20"/>
          <w:szCs w:val="20"/>
        </w:rPr>
        <w:t xml:space="preserve"> na podatelnu Magistrátu měs</w:t>
      </w:r>
      <w:r w:rsidR="009151E0">
        <w:rPr>
          <w:rFonts w:ascii="Arial" w:hAnsi="Arial" w:cs="Arial"/>
          <w:sz w:val="20"/>
          <w:szCs w:val="20"/>
        </w:rPr>
        <w:t xml:space="preserve">ta Opavy, Horní náměstí 69, 746 </w:t>
      </w:r>
      <w:r w:rsidRPr="009B5221">
        <w:rPr>
          <w:rFonts w:ascii="Arial" w:hAnsi="Arial" w:cs="Arial"/>
          <w:sz w:val="20"/>
          <w:szCs w:val="20"/>
        </w:rPr>
        <w:t>26 Opava.</w:t>
      </w:r>
    </w:p>
    <w:p w:rsid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 dokladů s označením položek hrazených z dotace, fotografie či nahrávky dokládající prezentaci finanční spoluúčasti poskytovatele apod.),</w:t>
      </w:r>
      <w:r w:rsidRPr="002037D1">
        <w:rPr>
          <w:rFonts w:ascii="Arial" w:hAnsi="Arial" w:cs="Arial"/>
          <w:sz w:val="20"/>
          <w:szCs w:val="20"/>
        </w:rPr>
        <w:t xml:space="preserve"> </w:t>
      </w:r>
      <w:r w:rsidRPr="000F1960">
        <w:rPr>
          <w:rFonts w:ascii="Arial" w:hAnsi="Arial" w:cs="Arial"/>
          <w:sz w:val="20"/>
          <w:szCs w:val="20"/>
        </w:rPr>
        <w:t xml:space="preserve">soupis dokladů k vyúčtování </w:t>
      </w:r>
      <w:r>
        <w:rPr>
          <w:rFonts w:ascii="Arial" w:hAnsi="Arial" w:cs="Arial"/>
          <w:sz w:val="20"/>
          <w:szCs w:val="20"/>
        </w:rPr>
        <w:t xml:space="preserve">poskytnuté dotace a čestné prohlášení příjemce o pravdivosti, správnosti a úplnosti vyúčtování dotace. Vyúčtování bude zpracováno na formulářích, které jsou přílohami Zásad (příloha č. 7 – Závěrečná zpráva a příloha č. 8 – Vyúčtování projektu). </w:t>
      </w:r>
    </w:p>
    <w:p w:rsidR="00AF7A7C" w:rsidRP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žádost poskytovatele zašle příjemce vyúčtování dotace ve formátu doc / 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rovněž elektronicky na e-mailovou adresu uvedenou v  žádosti poskytovatele.</w:t>
      </w:r>
    </w:p>
    <w:p w:rsidR="006C55FC" w:rsidRPr="00032AB2" w:rsidRDefault="006C55FC" w:rsidP="006C55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vyúčtování</w:t>
      </w:r>
      <w:r w:rsidR="00AF7A7C">
        <w:rPr>
          <w:rFonts w:ascii="Arial" w:hAnsi="Arial" w:cs="Arial"/>
          <w:sz w:val="20"/>
          <w:szCs w:val="20"/>
        </w:rPr>
        <w:t xml:space="preserve"> dotace</w:t>
      </w:r>
      <w:r>
        <w:rPr>
          <w:rFonts w:ascii="Arial" w:hAnsi="Arial" w:cs="Arial"/>
          <w:sz w:val="20"/>
          <w:szCs w:val="20"/>
        </w:rPr>
        <w:t xml:space="preserve">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je příjemce povinen takovéto dokumenty doložit nejpozději ve lhůtě stanovené v této žádosti poskytovatele. </w:t>
      </w:r>
    </w:p>
    <w:p w:rsidR="006F7941" w:rsidRDefault="006F7941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DB67C0">
        <w:rPr>
          <w:rFonts w:ascii="Arial" w:hAnsi="Arial" w:cs="Arial"/>
          <w:sz w:val="20"/>
          <w:szCs w:val="20"/>
        </w:rPr>
        <w:t xml:space="preserve">anovenému účelu, </w:t>
      </w:r>
      <w:proofErr w:type="gramStart"/>
      <w:r w:rsidR="00DB67C0">
        <w:rPr>
          <w:rFonts w:ascii="Arial" w:hAnsi="Arial" w:cs="Arial"/>
          <w:sz w:val="20"/>
          <w:szCs w:val="20"/>
        </w:rPr>
        <w:t xml:space="preserve">tzn. </w:t>
      </w:r>
      <w:r w:rsidRPr="00EF7511">
        <w:rPr>
          <w:rFonts w:ascii="Arial" w:hAnsi="Arial" w:cs="Arial"/>
          <w:sz w:val="20"/>
          <w:szCs w:val="20"/>
        </w:rPr>
        <w:t>použije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ve stanovené době,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9B5221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a efektivně, či 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l. VIII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odst. 5. a 6. této smlouvy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nepředloží-li příjemce </w:t>
      </w:r>
      <w:r>
        <w:rPr>
          <w:rFonts w:ascii="Arial" w:hAnsi="Arial" w:cs="Arial"/>
          <w:sz w:val="20"/>
          <w:szCs w:val="20"/>
        </w:rPr>
        <w:t>nejpozději do sedmi dnů po uplynutí lhůty uvedené v článku IX. odst. 1 této smlouvy</w:t>
      </w:r>
      <w:r w:rsidRPr="00EF7511">
        <w:rPr>
          <w:rFonts w:ascii="Arial" w:hAnsi="Arial" w:cs="Arial"/>
          <w:sz w:val="20"/>
          <w:szCs w:val="20"/>
        </w:rPr>
        <w:t xml:space="preserve"> vyúčtování dotace, které bude splňovat náležitosti uvedené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 xml:space="preserve">l. IX. této smlouvy. </w:t>
      </w: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 částce stanovené následujícím způsobem: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lastRenderedPageBreak/>
        <w:t xml:space="preserve">v případě porušení dle odstavce </w:t>
      </w:r>
      <w:proofErr w:type="gramStart"/>
      <w:r w:rsidRPr="00EF7511">
        <w:rPr>
          <w:rFonts w:ascii="Arial" w:hAnsi="Arial" w:cs="Arial"/>
          <w:sz w:val="20"/>
          <w:szCs w:val="20"/>
        </w:rPr>
        <w:t>1.1. 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odvod ve výši částky neoprávněně použitých nebo zadržených peněžních prostředků,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v případě porušení dle odstavce </w:t>
      </w:r>
      <w:proofErr w:type="gramStart"/>
      <w:r w:rsidRPr="00EF7511">
        <w:rPr>
          <w:rFonts w:ascii="Arial" w:hAnsi="Arial" w:cs="Arial"/>
          <w:sz w:val="20"/>
          <w:szCs w:val="20"/>
        </w:rPr>
        <w:t>1.2. 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odvod ve výši částky neoprávněně použitých nebo zadržených peněžních prostředků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v případě porušení dle odstavce </w:t>
      </w:r>
      <w:proofErr w:type="gramStart"/>
      <w:r w:rsidRPr="00EF7511">
        <w:rPr>
          <w:rFonts w:ascii="Arial" w:hAnsi="Arial" w:cs="Arial"/>
          <w:sz w:val="20"/>
          <w:szCs w:val="20"/>
        </w:rPr>
        <w:t>1.3. 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odvod ve výši 20 % z celkové částky poskytnuté dotace</w:t>
      </w:r>
      <w:r>
        <w:rPr>
          <w:rFonts w:ascii="Arial" w:hAnsi="Arial" w:cs="Arial"/>
          <w:sz w:val="20"/>
          <w:szCs w:val="20"/>
        </w:rPr>
        <w:t xml:space="preserve"> za porušení povinnosti stanovené v čl. VIII. odst. 6 této smlouvy, v případě ostatních porušení dle odst. 1.3. je odvod </w:t>
      </w:r>
      <w:r w:rsidRPr="00EF7511">
        <w:rPr>
          <w:rFonts w:ascii="Arial" w:hAnsi="Arial" w:cs="Arial"/>
          <w:sz w:val="20"/>
          <w:szCs w:val="20"/>
        </w:rPr>
        <w:t>ve výši částky neoprávněně použitých nebo zadržených peněžních prostředků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v případě porušení dle odstavce </w:t>
      </w:r>
      <w:proofErr w:type="gramStart"/>
      <w:r w:rsidRPr="00EF7511">
        <w:rPr>
          <w:rFonts w:ascii="Arial" w:hAnsi="Arial" w:cs="Arial"/>
          <w:sz w:val="20"/>
          <w:szCs w:val="20"/>
        </w:rPr>
        <w:t>1.4. 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odvod ve výši:</w:t>
      </w:r>
    </w:p>
    <w:p w:rsidR="006C55FC" w:rsidRPr="00EF7511" w:rsidRDefault="006C55FC" w:rsidP="006C55FC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20 % z celkové částky poskytnuté dotace v případě prodlení 8-30 dnů</w:t>
      </w:r>
    </w:p>
    <w:p w:rsidR="006C55FC" w:rsidRPr="00EF7511" w:rsidRDefault="006C55FC" w:rsidP="006C55FC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100 % z celkové částky poskytnuté dotace v případě prodlení 31 dnů a více.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6C55FC" w:rsidRPr="00554898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:rsidR="002D2E78" w:rsidRDefault="002D2E78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2037D1">
        <w:rPr>
          <w:rFonts w:ascii="Arial" w:hAnsi="Arial" w:cs="Arial"/>
          <w:sz w:val="20"/>
          <w:szCs w:val="20"/>
        </w:rPr>
        <w:t>zaměstnanci zařazenými do Magistrátu města Opavy, a to i namátkově.</w:t>
      </w:r>
    </w:p>
    <w:p w:rsidR="006C55FC" w:rsidRP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>
        <w:rPr>
          <w:rFonts w:ascii="Arial" w:hAnsi="Arial" w:cs="Arial"/>
          <w:sz w:val="20"/>
          <w:szCs w:val="20"/>
        </w:rPr>
        <w:br/>
      </w:r>
      <w:r w:rsidRPr="00DB67C0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:rsidR="00DB67C0" w:rsidRDefault="00DB67C0" w:rsidP="00DB67C0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Pr="00DB67C0" w:rsidRDefault="00DB67C0" w:rsidP="00DB67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>V případě rozporu mezi Zásadami a touto smlouvou má přednost znění této smlouvy.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DB67C0" w:rsidRDefault="00DB67C0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dvě vyhotovení. 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tato smlouva byla uzavřena svobodně a vážně, nikoli v tísni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 nápadně nevýhodných podmínek, její ustanovení jsou určitá a smluvním stranám zcela srozumitelná, na důkaz čehož smluvní strany připojují své podpisy. </w:t>
      </w:r>
    </w:p>
    <w:p w:rsidR="006C55FC" w:rsidRP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</w:t>
      </w:r>
      <w:r w:rsidR="001256E8">
        <w:rPr>
          <w:rFonts w:ascii="Arial" w:hAnsi="Arial" w:cs="Arial"/>
          <w:sz w:val="20"/>
          <w:szCs w:val="20"/>
        </w:rPr>
        <w:t>álních internetových stránkách s</w:t>
      </w:r>
      <w:r>
        <w:rPr>
          <w:rFonts w:ascii="Arial" w:hAnsi="Arial" w:cs="Arial"/>
          <w:sz w:val="20"/>
          <w:szCs w:val="20"/>
        </w:rPr>
        <w:t xml:space="preserve">tatutárního města Opavy (www.opava-city.cz). Souhlas se zveřejněním se týká i případných osobních údajů uvedených v této smlouvě, kdy je tento odstavec smluvními stranami brán jako souhlas se zpracováním osobních údajů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ve smyslu zákona č.101/2000 Sb., o ochraně osobních údajů a o změně některých zákonů,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ve zně</w:t>
      </w:r>
      <w:r w:rsidR="009B5221">
        <w:rPr>
          <w:rFonts w:ascii="Arial" w:hAnsi="Arial" w:cs="Arial"/>
          <w:sz w:val="20"/>
          <w:szCs w:val="20"/>
        </w:rPr>
        <w:t>ní pozdějších předpisů, a tedy s</w:t>
      </w:r>
      <w:r>
        <w:rPr>
          <w:rFonts w:ascii="Arial" w:hAnsi="Arial" w:cs="Arial"/>
          <w:sz w:val="20"/>
          <w:szCs w:val="20"/>
        </w:rPr>
        <w:t xml:space="preserve">tatutární město Opava má mimo jiné právo uchovávat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zveřejňovat osobní údaje v této smlouvě obsažené.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574A">
        <w:rPr>
          <w:rFonts w:ascii="Arial" w:hAnsi="Arial" w:cs="Arial"/>
          <w:sz w:val="20"/>
          <w:szCs w:val="20"/>
        </w:rPr>
        <w:t xml:space="preserve">Tato smlouva byla </w:t>
      </w:r>
      <w:r w:rsidRPr="00400DAA">
        <w:rPr>
          <w:rFonts w:ascii="Arial" w:hAnsi="Arial" w:cs="Arial"/>
          <w:sz w:val="20"/>
          <w:szCs w:val="20"/>
        </w:rPr>
        <w:t>schválena Zastupitelstvem</w:t>
      </w:r>
      <w:r w:rsidR="009B5221" w:rsidRPr="00400DAA">
        <w:rPr>
          <w:rFonts w:ascii="Arial" w:hAnsi="Arial" w:cs="Arial"/>
          <w:sz w:val="20"/>
          <w:szCs w:val="20"/>
        </w:rPr>
        <w:t xml:space="preserve"> s</w:t>
      </w:r>
      <w:r w:rsidRPr="00400DAA">
        <w:rPr>
          <w:rFonts w:ascii="Arial" w:hAnsi="Arial" w:cs="Arial"/>
          <w:sz w:val="20"/>
          <w:szCs w:val="20"/>
        </w:rPr>
        <w:t>tatutárního</w:t>
      </w:r>
      <w:r w:rsidRPr="0088574A">
        <w:rPr>
          <w:rFonts w:ascii="Arial" w:hAnsi="Arial" w:cs="Arial"/>
          <w:sz w:val="20"/>
          <w:szCs w:val="20"/>
        </w:rPr>
        <w:t xml:space="preserve"> města Opavy </w:t>
      </w:r>
      <w:proofErr w:type="gramStart"/>
      <w:r w:rsidRPr="0088574A">
        <w:rPr>
          <w:rFonts w:ascii="Arial" w:hAnsi="Arial" w:cs="Arial"/>
          <w:sz w:val="20"/>
          <w:szCs w:val="20"/>
        </w:rPr>
        <w:t>dne         , usnesením</w:t>
      </w:r>
      <w:proofErr w:type="gramEnd"/>
      <w:r w:rsidRPr="0088574A">
        <w:rPr>
          <w:rFonts w:ascii="Arial" w:hAnsi="Arial" w:cs="Arial"/>
          <w:sz w:val="20"/>
          <w:szCs w:val="20"/>
        </w:rPr>
        <w:t xml:space="preserve"> č.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Pr="0088574A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2D2E78" w:rsidRDefault="002D2E78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2D2E78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poskytovatele: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příjemce: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2D2E78" w:rsidRDefault="002D2E78" w:rsidP="006C55FC">
      <w:pPr>
        <w:jc w:val="both"/>
        <w:rPr>
          <w:rFonts w:ascii="Arial" w:hAnsi="Arial" w:cs="Arial"/>
          <w:sz w:val="20"/>
          <w:szCs w:val="20"/>
        </w:rPr>
      </w:pPr>
    </w:p>
    <w:p w:rsidR="002D2E78" w:rsidRDefault="002D2E78" w:rsidP="006C55FC">
      <w:pPr>
        <w:jc w:val="both"/>
        <w:rPr>
          <w:rFonts w:ascii="Arial" w:hAnsi="Arial" w:cs="Arial"/>
          <w:sz w:val="20"/>
          <w:szCs w:val="20"/>
        </w:rPr>
      </w:pPr>
    </w:p>
    <w:p w:rsidR="002D2E78" w:rsidRDefault="002D2E78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6C55FC" w:rsidRDefault="00C6596A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55FC">
        <w:rPr>
          <w:rFonts w:ascii="Arial" w:hAnsi="Arial" w:cs="Arial"/>
          <w:sz w:val="20"/>
          <w:szCs w:val="20"/>
        </w:rPr>
        <w:t xml:space="preserve">Ing. Radim </w:t>
      </w:r>
      <w:proofErr w:type="gramStart"/>
      <w:r w:rsidR="006C55FC">
        <w:rPr>
          <w:rFonts w:ascii="Arial" w:hAnsi="Arial" w:cs="Arial"/>
          <w:sz w:val="20"/>
          <w:szCs w:val="20"/>
        </w:rPr>
        <w:t>Křupala</w:t>
      </w:r>
      <w:proofErr w:type="gramEnd"/>
      <w:r w:rsidR="006C55FC">
        <w:rPr>
          <w:rFonts w:ascii="Arial" w:hAnsi="Arial" w:cs="Arial"/>
          <w:sz w:val="20"/>
          <w:szCs w:val="20"/>
        </w:rPr>
        <w:t xml:space="preserve"> </w:t>
      </w:r>
      <w:r w:rsidR="006C55FC">
        <w:rPr>
          <w:rFonts w:ascii="Arial" w:hAnsi="Arial" w:cs="Arial"/>
          <w:sz w:val="20"/>
          <w:szCs w:val="20"/>
        </w:rPr>
        <w:tab/>
      </w:r>
      <w:r w:rsidR="006C55FC">
        <w:rPr>
          <w:rFonts w:ascii="Arial" w:hAnsi="Arial" w:cs="Arial"/>
          <w:sz w:val="20"/>
          <w:szCs w:val="20"/>
        </w:rPr>
        <w:tab/>
      </w:r>
      <w:r w:rsidR="006C55FC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6C55FC">
        <w:rPr>
          <w:rFonts w:ascii="Arial" w:hAnsi="Arial" w:cs="Arial"/>
          <w:sz w:val="20"/>
          <w:szCs w:val="20"/>
        </w:rPr>
        <w:t xml:space="preserve"> </w:t>
      </w:r>
      <w:r w:rsidR="00D25521">
        <w:rPr>
          <w:rFonts w:ascii="Arial" w:hAnsi="Arial" w:cs="Arial"/>
          <w:sz w:val="20"/>
          <w:szCs w:val="20"/>
        </w:rPr>
        <w:t>Jan Hanuš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primátor                                                                                 </w:t>
      </w:r>
      <w:r w:rsidR="00C6596A">
        <w:rPr>
          <w:rFonts w:ascii="Arial" w:hAnsi="Arial" w:cs="Arial"/>
          <w:sz w:val="20"/>
          <w:szCs w:val="20"/>
        </w:rPr>
        <w:t xml:space="preserve">    </w:t>
      </w:r>
      <w:r w:rsidR="00D25521">
        <w:rPr>
          <w:rFonts w:ascii="Arial" w:hAnsi="Arial" w:cs="Arial"/>
          <w:sz w:val="20"/>
          <w:szCs w:val="20"/>
        </w:rPr>
        <w:t>ředitel</w:t>
      </w:r>
      <w:proofErr w:type="gramEnd"/>
    </w:p>
    <w:p w:rsidR="006C55FC" w:rsidRPr="006C55FC" w:rsidRDefault="006C55FC">
      <w:pPr>
        <w:rPr>
          <w:rFonts w:ascii="Arial" w:hAnsi="Arial" w:cs="Arial"/>
          <w:sz w:val="18"/>
          <w:szCs w:val="18"/>
        </w:rPr>
      </w:pPr>
    </w:p>
    <w:sectPr w:rsidR="006C55FC" w:rsidRPr="006C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45D0A"/>
    <w:multiLevelType w:val="hybridMultilevel"/>
    <w:tmpl w:val="833E6F8E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6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26C01"/>
    <w:multiLevelType w:val="hybridMultilevel"/>
    <w:tmpl w:val="50B8F1A8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50262838">
      <w:start w:val="1"/>
      <w:numFmt w:val="bullet"/>
      <w:lvlText w:val="-"/>
      <w:lvlJc w:val="left"/>
      <w:pPr>
        <w:ind w:left="26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FC"/>
    <w:rsid w:val="000356F6"/>
    <w:rsid w:val="000D06EF"/>
    <w:rsid w:val="001256E8"/>
    <w:rsid w:val="00170E3C"/>
    <w:rsid w:val="001F4A0A"/>
    <w:rsid w:val="002D2E78"/>
    <w:rsid w:val="003109CD"/>
    <w:rsid w:val="00337601"/>
    <w:rsid w:val="003853AF"/>
    <w:rsid w:val="00397A1B"/>
    <w:rsid w:val="00400DAA"/>
    <w:rsid w:val="00483791"/>
    <w:rsid w:val="00554898"/>
    <w:rsid w:val="0057397E"/>
    <w:rsid w:val="005C0942"/>
    <w:rsid w:val="00605992"/>
    <w:rsid w:val="00660CB6"/>
    <w:rsid w:val="006C55FC"/>
    <w:rsid w:val="006F7941"/>
    <w:rsid w:val="0073501E"/>
    <w:rsid w:val="0079067B"/>
    <w:rsid w:val="008070D4"/>
    <w:rsid w:val="00840207"/>
    <w:rsid w:val="00844F94"/>
    <w:rsid w:val="00864ED4"/>
    <w:rsid w:val="008B4232"/>
    <w:rsid w:val="009151E0"/>
    <w:rsid w:val="009658AD"/>
    <w:rsid w:val="009B5221"/>
    <w:rsid w:val="00AF7A7C"/>
    <w:rsid w:val="00B145BB"/>
    <w:rsid w:val="00B46171"/>
    <w:rsid w:val="00B66EE6"/>
    <w:rsid w:val="00B8745A"/>
    <w:rsid w:val="00B94F4A"/>
    <w:rsid w:val="00C44DA1"/>
    <w:rsid w:val="00C6596A"/>
    <w:rsid w:val="00C9725F"/>
    <w:rsid w:val="00D25521"/>
    <w:rsid w:val="00DB67C0"/>
    <w:rsid w:val="00DF52CB"/>
    <w:rsid w:val="00E264B7"/>
    <w:rsid w:val="00EC13A8"/>
    <w:rsid w:val="00F04C33"/>
    <w:rsid w:val="00F20D09"/>
    <w:rsid w:val="00F43CF5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2243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4</cp:revision>
  <dcterms:created xsi:type="dcterms:W3CDTF">2016-04-14T08:33:00Z</dcterms:created>
  <dcterms:modified xsi:type="dcterms:W3CDTF">2016-04-14T08:38:00Z</dcterms:modified>
</cp:coreProperties>
</file>