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6A" w:rsidRPr="000F3429" w:rsidRDefault="00325447" w:rsidP="00C0066A">
      <w:pPr>
        <w:pStyle w:val="Nadpis3"/>
        <w:spacing w:before="0" w:after="0" w:line="276" w:lineRule="auto"/>
        <w:jc w:val="center"/>
        <w:rPr>
          <w:sz w:val="20"/>
          <w:szCs w:val="20"/>
        </w:rPr>
      </w:pPr>
      <w:r w:rsidRPr="000F3429">
        <w:rPr>
          <w:sz w:val="20"/>
          <w:szCs w:val="20"/>
        </w:rPr>
        <w:t xml:space="preserve">Protokol o </w:t>
      </w:r>
      <w:r w:rsidR="005A0C17">
        <w:rPr>
          <w:sz w:val="20"/>
          <w:szCs w:val="20"/>
        </w:rPr>
        <w:t>posouzení nabídek</w:t>
      </w:r>
    </w:p>
    <w:p w:rsidR="00C0066A" w:rsidRPr="000F3429" w:rsidRDefault="00C0066A" w:rsidP="00C0066A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10629" w:rsidRPr="00610629" w:rsidRDefault="00610629" w:rsidP="00610629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10629">
        <w:rPr>
          <w:rFonts w:ascii="Arial" w:hAnsi="Arial" w:cs="Arial"/>
          <w:b/>
          <w:bCs/>
          <w:sz w:val="20"/>
          <w:szCs w:val="20"/>
        </w:rPr>
        <w:t xml:space="preserve">Zadavatel: </w:t>
      </w:r>
    </w:p>
    <w:p w:rsidR="00F73CA9" w:rsidRPr="00F73CA9" w:rsidRDefault="00F73CA9" w:rsidP="00F73CA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516754534"/>
      <w:r w:rsidRPr="00F73CA9">
        <w:rPr>
          <w:rFonts w:ascii="Arial" w:hAnsi="Arial" w:cs="Arial"/>
          <w:bCs/>
          <w:sz w:val="20"/>
          <w:szCs w:val="20"/>
        </w:rPr>
        <w:t>Statutární město Opava</w:t>
      </w:r>
    </w:p>
    <w:p w:rsidR="00F73CA9" w:rsidRPr="00F73CA9" w:rsidRDefault="00F73CA9" w:rsidP="00F73CA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73CA9">
        <w:rPr>
          <w:rFonts w:ascii="Arial" w:hAnsi="Arial" w:cs="Arial"/>
          <w:bCs/>
          <w:sz w:val="20"/>
          <w:szCs w:val="20"/>
        </w:rPr>
        <w:t>Horní náměstí 69, 746 26 Opava</w:t>
      </w:r>
    </w:p>
    <w:p w:rsidR="00F73CA9" w:rsidRPr="00F73CA9" w:rsidRDefault="00F73CA9" w:rsidP="00F73CA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73CA9">
        <w:rPr>
          <w:rFonts w:ascii="Arial" w:hAnsi="Arial" w:cs="Arial"/>
          <w:bCs/>
          <w:sz w:val="20"/>
          <w:szCs w:val="20"/>
        </w:rPr>
        <w:t>Zástupce: Ing. Radim Křupala, primátor</w:t>
      </w:r>
    </w:p>
    <w:p w:rsidR="00610629" w:rsidRDefault="00F73CA9" w:rsidP="00F73CA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73CA9">
        <w:rPr>
          <w:rFonts w:ascii="Arial" w:hAnsi="Arial" w:cs="Arial"/>
          <w:bCs/>
          <w:sz w:val="20"/>
          <w:szCs w:val="20"/>
        </w:rPr>
        <w:t>IČ: 00300535</w:t>
      </w:r>
      <w:bookmarkEnd w:id="0"/>
    </w:p>
    <w:p w:rsidR="00F73CA9" w:rsidRPr="00610629" w:rsidRDefault="00F73CA9" w:rsidP="00F73CA9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73CA9" w:rsidRPr="00F73CA9" w:rsidRDefault="00F73CA9" w:rsidP="00F73CA9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516754549"/>
      <w:r w:rsidRPr="00F73CA9">
        <w:rPr>
          <w:rFonts w:ascii="Arial" w:hAnsi="Arial" w:cs="Arial"/>
          <w:b/>
          <w:bCs/>
          <w:sz w:val="20"/>
          <w:szCs w:val="20"/>
        </w:rPr>
        <w:t>Koncesní řízení:</w:t>
      </w:r>
    </w:p>
    <w:p w:rsidR="00F73CA9" w:rsidRPr="00F73CA9" w:rsidRDefault="00F73CA9" w:rsidP="00F73CA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73CA9">
        <w:rPr>
          <w:rFonts w:ascii="Arial" w:hAnsi="Arial" w:cs="Arial"/>
          <w:bCs/>
          <w:sz w:val="20"/>
          <w:szCs w:val="20"/>
        </w:rPr>
        <w:t>Výběr provozovatele kanalizace statutárního města Opava</w:t>
      </w:r>
      <w:bookmarkEnd w:id="1"/>
    </w:p>
    <w:p w:rsidR="00610629" w:rsidRPr="00610629" w:rsidRDefault="00610629" w:rsidP="00610629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C0066A" w:rsidRPr="000F3429" w:rsidRDefault="00C0066A" w:rsidP="00C0066A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3429">
        <w:rPr>
          <w:rFonts w:ascii="Arial" w:hAnsi="Arial" w:cs="Arial"/>
          <w:b/>
          <w:bCs/>
          <w:sz w:val="20"/>
          <w:szCs w:val="20"/>
        </w:rPr>
        <w:t>Místo konání</w:t>
      </w:r>
    </w:p>
    <w:p w:rsidR="00C0066A" w:rsidRPr="000F3429" w:rsidRDefault="00F73CA9" w:rsidP="00C0066A">
      <w:pPr>
        <w:pStyle w:val="Zkladntextodsazen2"/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Magistrát města Opavy</w:t>
      </w:r>
    </w:p>
    <w:p w:rsidR="00C0066A" w:rsidRPr="000F3429" w:rsidRDefault="00C0066A" w:rsidP="00C0066A">
      <w:pPr>
        <w:pStyle w:val="Zkladntextodsazen2"/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066A" w:rsidRPr="000F3429" w:rsidRDefault="00C0066A" w:rsidP="00C0066A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3429">
        <w:rPr>
          <w:rFonts w:ascii="Arial" w:hAnsi="Arial" w:cs="Arial"/>
          <w:b/>
          <w:bCs/>
          <w:sz w:val="20"/>
          <w:szCs w:val="20"/>
        </w:rPr>
        <w:t>Datum konání</w:t>
      </w:r>
    </w:p>
    <w:p w:rsidR="00C0066A" w:rsidRPr="000F3429" w:rsidRDefault="009141CA" w:rsidP="000F3429">
      <w:pPr>
        <w:pStyle w:val="Zkladntextodsazen2"/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 rollam</w:t>
      </w:r>
    </w:p>
    <w:p w:rsidR="00C0066A" w:rsidRPr="000F3429" w:rsidRDefault="00C0066A" w:rsidP="00C0066A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0066A" w:rsidRPr="000F3429" w:rsidRDefault="00C0066A" w:rsidP="00C0066A">
      <w:pPr>
        <w:pStyle w:val="Zkladntextodsazen2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0F3429">
        <w:rPr>
          <w:rFonts w:ascii="Arial" w:hAnsi="Arial" w:cs="Arial"/>
          <w:b/>
          <w:bCs/>
          <w:sz w:val="20"/>
          <w:szCs w:val="20"/>
        </w:rPr>
        <w:t xml:space="preserve">Zahájení jednání </w:t>
      </w:r>
    </w:p>
    <w:p w:rsidR="00C0066A" w:rsidRPr="000F3429" w:rsidRDefault="00C0066A" w:rsidP="00C0066A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0066A" w:rsidRPr="000F3429" w:rsidRDefault="00C0066A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F3429">
        <w:rPr>
          <w:rFonts w:ascii="Arial" w:hAnsi="Arial" w:cs="Arial"/>
          <w:bCs/>
          <w:sz w:val="20"/>
          <w:szCs w:val="20"/>
        </w:rPr>
        <w:t xml:space="preserve">Zadavatel ustanovil komisi pro </w:t>
      </w:r>
      <w:r w:rsidR="005A0C17">
        <w:rPr>
          <w:rFonts w:ascii="Arial" w:hAnsi="Arial" w:cs="Arial"/>
          <w:bCs/>
          <w:sz w:val="20"/>
          <w:szCs w:val="20"/>
        </w:rPr>
        <w:t>posouzení a hodnocení nabídek</w:t>
      </w:r>
      <w:r w:rsidR="00DC4687" w:rsidRPr="000F3429">
        <w:rPr>
          <w:rFonts w:ascii="Arial" w:hAnsi="Arial" w:cs="Arial"/>
          <w:bCs/>
          <w:sz w:val="20"/>
          <w:szCs w:val="20"/>
        </w:rPr>
        <w:t>.</w:t>
      </w:r>
    </w:p>
    <w:p w:rsidR="00C0066A" w:rsidRPr="000F3429" w:rsidRDefault="00C0066A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C0066A" w:rsidRPr="000F3429" w:rsidRDefault="009141CA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Členové </w:t>
      </w:r>
      <w:r w:rsidR="00C0066A" w:rsidRPr="000F3429">
        <w:rPr>
          <w:rFonts w:ascii="Arial" w:hAnsi="Arial" w:cs="Arial"/>
          <w:bCs/>
          <w:sz w:val="20"/>
          <w:szCs w:val="20"/>
        </w:rPr>
        <w:t xml:space="preserve">komise pro </w:t>
      </w:r>
      <w:r w:rsidR="005A0C17">
        <w:rPr>
          <w:rFonts w:ascii="Arial" w:hAnsi="Arial" w:cs="Arial"/>
          <w:bCs/>
          <w:sz w:val="20"/>
          <w:szCs w:val="20"/>
        </w:rPr>
        <w:t>posouzení a hodnocení nabídek</w:t>
      </w:r>
      <w:r>
        <w:rPr>
          <w:rFonts w:ascii="Arial" w:hAnsi="Arial" w:cs="Arial"/>
          <w:bCs/>
          <w:sz w:val="20"/>
          <w:szCs w:val="20"/>
        </w:rPr>
        <w:t>:</w:t>
      </w:r>
      <w:r w:rsidR="005A0C17" w:rsidRPr="000F3429">
        <w:rPr>
          <w:rFonts w:ascii="Arial" w:hAnsi="Arial" w:cs="Arial"/>
          <w:bCs/>
          <w:sz w:val="20"/>
          <w:szCs w:val="20"/>
        </w:rPr>
        <w:t xml:space="preserve"> </w:t>
      </w:r>
    </w:p>
    <w:p w:rsidR="00F200B9" w:rsidRPr="00F200B9" w:rsidRDefault="00F200B9" w:rsidP="00F200B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200B9">
        <w:rPr>
          <w:rFonts w:ascii="Arial" w:hAnsi="Arial" w:cs="Arial"/>
          <w:bCs/>
          <w:sz w:val="20"/>
          <w:szCs w:val="20"/>
        </w:rPr>
        <w:t>1. Ing. Martin Víteček</w:t>
      </w:r>
    </w:p>
    <w:p w:rsidR="00F200B9" w:rsidRPr="00F200B9" w:rsidRDefault="00F200B9" w:rsidP="00F200B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200B9">
        <w:rPr>
          <w:rFonts w:ascii="Arial" w:hAnsi="Arial" w:cs="Arial"/>
          <w:bCs/>
          <w:sz w:val="20"/>
          <w:szCs w:val="20"/>
        </w:rPr>
        <w:t>2. Mgr. Dalibor Halátek</w:t>
      </w:r>
    </w:p>
    <w:p w:rsidR="00F200B9" w:rsidRPr="00F200B9" w:rsidRDefault="00F200B9" w:rsidP="00F200B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200B9">
        <w:rPr>
          <w:rFonts w:ascii="Arial" w:hAnsi="Arial" w:cs="Arial"/>
          <w:bCs/>
          <w:sz w:val="20"/>
          <w:szCs w:val="20"/>
        </w:rPr>
        <w:t>3. Ing. Martina Heisigová</w:t>
      </w:r>
    </w:p>
    <w:p w:rsidR="00F200B9" w:rsidRPr="00F200B9" w:rsidRDefault="00F200B9" w:rsidP="00F200B9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200B9">
        <w:rPr>
          <w:rFonts w:ascii="Arial" w:hAnsi="Arial" w:cs="Arial"/>
          <w:bCs/>
          <w:sz w:val="20"/>
          <w:szCs w:val="20"/>
        </w:rPr>
        <w:t xml:space="preserve">4. Ing. </w:t>
      </w:r>
      <w:r w:rsidR="00FA2F1F">
        <w:rPr>
          <w:rFonts w:ascii="Arial" w:hAnsi="Arial" w:cs="Arial"/>
          <w:bCs/>
          <w:sz w:val="20"/>
          <w:szCs w:val="20"/>
        </w:rPr>
        <w:t>Monika Uherková</w:t>
      </w:r>
      <w:bookmarkStart w:id="2" w:name="_GoBack"/>
      <w:bookmarkEnd w:id="2"/>
    </w:p>
    <w:p w:rsidR="00F200B9" w:rsidRDefault="00F200B9" w:rsidP="00F200B9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200B9">
        <w:rPr>
          <w:rFonts w:ascii="Arial" w:hAnsi="Arial" w:cs="Arial"/>
          <w:bCs/>
          <w:sz w:val="20"/>
          <w:szCs w:val="20"/>
        </w:rPr>
        <w:t xml:space="preserve">5. Ing. Jaroslav Glogar </w:t>
      </w:r>
    </w:p>
    <w:p w:rsidR="00F200B9" w:rsidRDefault="00F200B9" w:rsidP="00F200B9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C0066A" w:rsidRDefault="00C0066A" w:rsidP="00F200B9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F3429">
        <w:rPr>
          <w:rFonts w:ascii="Arial" w:hAnsi="Arial" w:cs="Arial"/>
          <w:bCs/>
          <w:sz w:val="20"/>
          <w:szCs w:val="20"/>
        </w:rPr>
        <w:t>(dále jen „</w:t>
      </w:r>
      <w:r w:rsidR="00325447" w:rsidRPr="000F3429">
        <w:rPr>
          <w:rFonts w:ascii="Arial" w:hAnsi="Arial" w:cs="Arial"/>
          <w:b/>
          <w:bCs/>
          <w:sz w:val="20"/>
          <w:szCs w:val="20"/>
        </w:rPr>
        <w:t>k</w:t>
      </w:r>
      <w:r w:rsidRPr="000F3429">
        <w:rPr>
          <w:rFonts w:ascii="Arial" w:hAnsi="Arial" w:cs="Arial"/>
          <w:b/>
          <w:bCs/>
          <w:sz w:val="20"/>
          <w:szCs w:val="20"/>
        </w:rPr>
        <w:t>omise</w:t>
      </w:r>
      <w:r w:rsidRPr="000F3429">
        <w:rPr>
          <w:rFonts w:ascii="Arial" w:hAnsi="Arial" w:cs="Arial"/>
          <w:bCs/>
          <w:sz w:val="20"/>
          <w:szCs w:val="20"/>
        </w:rPr>
        <w:t>“).</w:t>
      </w:r>
    </w:p>
    <w:p w:rsidR="00BD4F92" w:rsidRDefault="00BD4F92" w:rsidP="00F200B9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9141CA" w:rsidRPr="000F3429" w:rsidRDefault="009141CA" w:rsidP="00F200B9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Přílohou </w:t>
      </w:r>
      <w:r w:rsidR="00BD4F92">
        <w:rPr>
          <w:rFonts w:ascii="Arial" w:hAnsi="Arial" w:cs="Arial"/>
          <w:bCs/>
          <w:sz w:val="20"/>
          <w:szCs w:val="20"/>
        </w:rPr>
        <w:t xml:space="preserve">č. 1 </w:t>
      </w:r>
      <w:r>
        <w:rPr>
          <w:rFonts w:ascii="Arial" w:hAnsi="Arial" w:cs="Arial"/>
          <w:bCs/>
          <w:sz w:val="20"/>
          <w:szCs w:val="20"/>
        </w:rPr>
        <w:t xml:space="preserve">protokolu jsou prohlášení o neexistenci střetu zájmu, která podepsali jednotliví členové komise. </w:t>
      </w:r>
    </w:p>
    <w:p w:rsidR="00C0066A" w:rsidRPr="000F3429" w:rsidRDefault="00C0066A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5A0C17" w:rsidRDefault="005A0C17" w:rsidP="005A0C17">
      <w:pPr>
        <w:pStyle w:val="Zkladntextodsazen2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Posouzení nabídek</w:t>
      </w:r>
    </w:p>
    <w:p w:rsidR="005A0C17" w:rsidRPr="005A0C17" w:rsidRDefault="005A0C17" w:rsidP="005A0C17">
      <w:pPr>
        <w:jc w:val="both"/>
        <w:rPr>
          <w:rFonts w:ascii="Arial" w:hAnsi="Arial" w:cs="Arial"/>
          <w:sz w:val="20"/>
          <w:szCs w:val="20"/>
        </w:rPr>
      </w:pPr>
    </w:p>
    <w:p w:rsidR="005A0C17" w:rsidRDefault="005A0C17" w:rsidP="005A0C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konce lhůty pro podání nabídek přijal zadavatel celkem 1 nabídku. </w:t>
      </w:r>
      <w:r w:rsidRPr="005A175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886"/>
        <w:gridCol w:w="4472"/>
      </w:tblGrid>
      <w:tr w:rsidR="005A0C17" w:rsidRPr="005A1757" w:rsidTr="008E5C75">
        <w:trPr>
          <w:trHeight w:val="46"/>
          <w:jc w:val="center"/>
        </w:trPr>
        <w:tc>
          <w:tcPr>
            <w:tcW w:w="964" w:type="dxa"/>
            <w:shd w:val="clear" w:color="auto" w:fill="auto"/>
            <w:tcMar>
              <w:top w:w="198" w:type="dxa"/>
            </w:tcMar>
            <w:vAlign w:val="center"/>
          </w:tcPr>
          <w:p w:rsidR="005A0C17" w:rsidRPr="005A1757" w:rsidRDefault="005A0C17" w:rsidP="00A50980">
            <w:pPr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1757">
              <w:rPr>
                <w:rFonts w:ascii="Arial" w:hAnsi="Arial" w:cs="Arial"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4169" w:type="dxa"/>
            <w:shd w:val="clear" w:color="auto" w:fill="auto"/>
            <w:tcMar>
              <w:top w:w="198" w:type="dxa"/>
            </w:tcMar>
            <w:vAlign w:val="center"/>
          </w:tcPr>
          <w:p w:rsidR="005A0C17" w:rsidRPr="005A1757" w:rsidRDefault="005A0C17" w:rsidP="00A50980">
            <w:pPr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1757">
              <w:rPr>
                <w:rFonts w:ascii="Arial" w:hAnsi="Arial" w:cs="Arial"/>
                <w:sz w:val="20"/>
                <w:szCs w:val="20"/>
                <w:lang w:eastAsia="en-US"/>
              </w:rPr>
              <w:t>Účastník</w:t>
            </w:r>
          </w:p>
        </w:tc>
        <w:tc>
          <w:tcPr>
            <w:tcW w:w="4906" w:type="dxa"/>
            <w:shd w:val="clear" w:color="auto" w:fill="auto"/>
            <w:tcMar>
              <w:top w:w="198" w:type="dxa"/>
            </w:tcMar>
            <w:vAlign w:val="center"/>
          </w:tcPr>
          <w:p w:rsidR="005A0C17" w:rsidRPr="005A1757" w:rsidRDefault="005A0C17" w:rsidP="00A50980">
            <w:pPr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1757">
              <w:rPr>
                <w:rFonts w:ascii="Arial" w:hAnsi="Arial" w:cs="Arial"/>
                <w:sz w:val="20"/>
                <w:szCs w:val="20"/>
                <w:lang w:eastAsia="en-US"/>
              </w:rPr>
              <w:t>Sídlo podnikání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IČ</w:t>
            </w:r>
          </w:p>
        </w:tc>
      </w:tr>
      <w:tr w:rsidR="005A0C17" w:rsidRPr="005A1757" w:rsidTr="008E5C75">
        <w:trPr>
          <w:trHeight w:val="172"/>
          <w:jc w:val="center"/>
        </w:trPr>
        <w:tc>
          <w:tcPr>
            <w:tcW w:w="964" w:type="dxa"/>
            <w:shd w:val="clear" w:color="auto" w:fill="auto"/>
            <w:tcMar>
              <w:top w:w="198" w:type="dxa"/>
            </w:tcMar>
          </w:tcPr>
          <w:p w:rsidR="005A0C17" w:rsidRPr="005A1757" w:rsidRDefault="005A0C17" w:rsidP="00A50980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1757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69" w:type="dxa"/>
            <w:shd w:val="clear" w:color="auto" w:fill="auto"/>
            <w:tcMar>
              <w:top w:w="198" w:type="dxa"/>
            </w:tcMar>
          </w:tcPr>
          <w:p w:rsidR="005A0C17" w:rsidRPr="005A1757" w:rsidRDefault="005A0C17" w:rsidP="00A50980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0C17">
              <w:rPr>
                <w:rFonts w:ascii="Arial" w:hAnsi="Arial" w:cs="Arial"/>
                <w:sz w:val="20"/>
                <w:szCs w:val="20"/>
                <w:lang w:eastAsia="en-US"/>
              </w:rPr>
              <w:t>Severomoravské vodovody a kanalizace Ostrava a.s.</w:t>
            </w:r>
          </w:p>
        </w:tc>
        <w:tc>
          <w:tcPr>
            <w:tcW w:w="4906" w:type="dxa"/>
            <w:shd w:val="clear" w:color="auto" w:fill="auto"/>
            <w:tcMar>
              <w:top w:w="198" w:type="dxa"/>
            </w:tcMar>
          </w:tcPr>
          <w:p w:rsidR="005A0C17" w:rsidRDefault="008E5C75" w:rsidP="00A50980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5C75">
              <w:rPr>
                <w:rFonts w:ascii="Arial" w:hAnsi="Arial" w:cs="Arial"/>
                <w:sz w:val="20"/>
                <w:szCs w:val="20"/>
                <w:lang w:eastAsia="en-US"/>
              </w:rPr>
              <w:t>28. října 1235/169, Mariánské Hory, 709 00 Ostrava</w:t>
            </w:r>
          </w:p>
          <w:p w:rsidR="005A0C17" w:rsidRPr="005A1757" w:rsidRDefault="005A0C17" w:rsidP="00A50980">
            <w:pPr>
              <w:ind w:right="-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</w:t>
            </w:r>
            <w:r w:rsidR="008E5C75" w:rsidRPr="008E5C75">
              <w:rPr>
                <w:rFonts w:ascii="Arial" w:hAnsi="Arial" w:cs="Arial"/>
                <w:sz w:val="20"/>
                <w:szCs w:val="20"/>
                <w:lang w:eastAsia="en-US"/>
              </w:rPr>
              <w:t>45193665</w:t>
            </w:r>
          </w:p>
        </w:tc>
      </w:tr>
    </w:tbl>
    <w:p w:rsidR="008E5C75" w:rsidRDefault="008E5C75" w:rsidP="00D468A1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D468A1" w:rsidRPr="008E5C75" w:rsidRDefault="00D468A1" w:rsidP="00D468A1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Komise posoudila nabídku a zjistila, že účastník č. 1 prokázal splnění kvalifikační způsobilosti.</w:t>
      </w:r>
    </w:p>
    <w:p w:rsidR="008E5C75" w:rsidRPr="008E5C75" w:rsidRDefault="008E5C75" w:rsidP="008E5C75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8E5C75" w:rsidRPr="008E5C75" w:rsidRDefault="008E5C75" w:rsidP="00D468A1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E5C75">
        <w:rPr>
          <w:rFonts w:ascii="Arial" w:hAnsi="Arial" w:cs="Arial"/>
          <w:bCs/>
          <w:sz w:val="20"/>
          <w:szCs w:val="20"/>
        </w:rPr>
        <w:t>Komise dále provedla ověření výsledků kontroly Soutěžního nástroje (soubor „Soutezni_formular_SF1.2.xls“</w:t>
      </w:r>
      <w:r w:rsidR="00422A18">
        <w:rPr>
          <w:rFonts w:ascii="Arial" w:hAnsi="Arial" w:cs="Arial"/>
          <w:bCs/>
          <w:sz w:val="20"/>
          <w:szCs w:val="20"/>
        </w:rPr>
        <w:t>, „</w:t>
      </w:r>
      <w:r w:rsidR="00422A18" w:rsidRPr="00422A18">
        <w:rPr>
          <w:rFonts w:ascii="Arial" w:hAnsi="Arial" w:cs="Arial"/>
          <w:bCs/>
          <w:sz w:val="20"/>
          <w:szCs w:val="20"/>
        </w:rPr>
        <w:t>Vyr</w:t>
      </w:r>
      <w:r w:rsidR="00422A18">
        <w:rPr>
          <w:rFonts w:ascii="Arial" w:hAnsi="Arial" w:cs="Arial"/>
          <w:bCs/>
          <w:sz w:val="20"/>
          <w:szCs w:val="20"/>
        </w:rPr>
        <w:t>ovnavaci_nastroj_vII.0.11_SF1.2</w:t>
      </w:r>
      <w:r w:rsidR="00422A18" w:rsidRPr="00422A18">
        <w:rPr>
          <w:rFonts w:ascii="Arial" w:hAnsi="Arial" w:cs="Arial"/>
          <w:bCs/>
          <w:sz w:val="20"/>
          <w:szCs w:val="20"/>
        </w:rPr>
        <w:t>.xls</w:t>
      </w:r>
      <w:r w:rsidR="00422A18">
        <w:rPr>
          <w:rFonts w:ascii="Arial" w:hAnsi="Arial" w:cs="Arial"/>
          <w:bCs/>
          <w:sz w:val="20"/>
          <w:szCs w:val="20"/>
        </w:rPr>
        <w:t>“</w:t>
      </w:r>
      <w:r w:rsidRPr="008E5C75">
        <w:rPr>
          <w:rFonts w:ascii="Arial" w:hAnsi="Arial" w:cs="Arial"/>
          <w:bCs/>
          <w:sz w:val="20"/>
          <w:szCs w:val="20"/>
        </w:rPr>
        <w:t>), který obsahuje výsledné hodnoty dílčího hodnotícího kritéria – „Soutěžní cena v Kč/m</w:t>
      </w:r>
      <w:r w:rsidRPr="00422A18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8E5C75">
        <w:rPr>
          <w:rFonts w:ascii="Arial" w:hAnsi="Arial" w:cs="Arial"/>
          <w:bCs/>
          <w:sz w:val="20"/>
          <w:szCs w:val="20"/>
        </w:rPr>
        <w:t xml:space="preserve">“.  </w:t>
      </w:r>
    </w:p>
    <w:p w:rsidR="008E5C75" w:rsidRPr="008E5C75" w:rsidRDefault="008E5C75" w:rsidP="008E5C75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8E5C75" w:rsidRPr="008E5C75" w:rsidRDefault="008E5C75" w:rsidP="00D468A1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E5C75">
        <w:rPr>
          <w:rFonts w:ascii="Arial" w:hAnsi="Arial" w:cs="Arial"/>
          <w:bCs/>
          <w:sz w:val="20"/>
          <w:szCs w:val="20"/>
        </w:rPr>
        <w:t xml:space="preserve">Kontrola výpočtu hodnoty výše uvedeného dílčího hodnotícího kritéria dle nabídky </w:t>
      </w:r>
      <w:r w:rsidR="00D468A1">
        <w:rPr>
          <w:rFonts w:ascii="Arial" w:hAnsi="Arial" w:cs="Arial"/>
          <w:bCs/>
          <w:sz w:val="20"/>
          <w:szCs w:val="20"/>
        </w:rPr>
        <w:t>účastníka</w:t>
      </w:r>
      <w:r w:rsidRPr="008E5C75">
        <w:rPr>
          <w:rFonts w:ascii="Arial" w:hAnsi="Arial" w:cs="Arial"/>
          <w:bCs/>
          <w:sz w:val="20"/>
          <w:szCs w:val="20"/>
        </w:rPr>
        <w:t xml:space="preserve"> byla provedena nezávislým výpočtem s využitím SW ve formátu Excel, který byl součástí koncesní dokumentace. Pro předloženou nabídku byly zadány vstupní hodnoty dle nabídky </w:t>
      </w:r>
      <w:r w:rsidR="00D468A1">
        <w:rPr>
          <w:rFonts w:ascii="Arial" w:hAnsi="Arial" w:cs="Arial"/>
          <w:bCs/>
          <w:sz w:val="20"/>
          <w:szCs w:val="20"/>
        </w:rPr>
        <w:t>účastníka,</w:t>
      </w:r>
      <w:r w:rsidRPr="008E5C75">
        <w:rPr>
          <w:rFonts w:ascii="Arial" w:hAnsi="Arial" w:cs="Arial"/>
          <w:bCs/>
          <w:sz w:val="20"/>
          <w:szCs w:val="20"/>
        </w:rPr>
        <w:t xml:space="preserve"> a to do </w:t>
      </w:r>
      <w:r w:rsidRPr="008E5C75">
        <w:rPr>
          <w:rFonts w:ascii="Arial" w:hAnsi="Arial" w:cs="Arial"/>
          <w:bCs/>
          <w:sz w:val="20"/>
          <w:szCs w:val="20"/>
        </w:rPr>
        <w:lastRenderedPageBreak/>
        <w:t>souboru ve formátu Excel „Soutezni_formular_SF1.2.xls“</w:t>
      </w:r>
      <w:r w:rsidR="00422A18">
        <w:rPr>
          <w:rFonts w:ascii="Arial" w:hAnsi="Arial" w:cs="Arial"/>
          <w:bCs/>
          <w:sz w:val="20"/>
          <w:szCs w:val="20"/>
        </w:rPr>
        <w:t xml:space="preserve"> a „</w:t>
      </w:r>
      <w:r w:rsidR="00422A18" w:rsidRPr="00422A18">
        <w:rPr>
          <w:rFonts w:ascii="Arial" w:hAnsi="Arial" w:cs="Arial"/>
          <w:bCs/>
          <w:sz w:val="20"/>
          <w:szCs w:val="20"/>
        </w:rPr>
        <w:t>Vyrovnavaci_nastroj_vII.0.11_SF1.2_.xls</w:t>
      </w:r>
      <w:r w:rsidR="00422A18">
        <w:rPr>
          <w:rFonts w:ascii="Arial" w:hAnsi="Arial" w:cs="Arial"/>
          <w:bCs/>
          <w:sz w:val="20"/>
          <w:szCs w:val="20"/>
        </w:rPr>
        <w:t>“, které</w:t>
      </w:r>
      <w:r w:rsidRPr="008E5C75">
        <w:rPr>
          <w:rFonts w:ascii="Arial" w:hAnsi="Arial" w:cs="Arial"/>
          <w:bCs/>
          <w:sz w:val="20"/>
          <w:szCs w:val="20"/>
        </w:rPr>
        <w:t xml:space="preserve"> byl</w:t>
      </w:r>
      <w:r w:rsidR="00422A18">
        <w:rPr>
          <w:rFonts w:ascii="Arial" w:hAnsi="Arial" w:cs="Arial"/>
          <w:bCs/>
          <w:sz w:val="20"/>
          <w:szCs w:val="20"/>
        </w:rPr>
        <w:t>y</w:t>
      </w:r>
      <w:r w:rsidRPr="008E5C75">
        <w:rPr>
          <w:rFonts w:ascii="Arial" w:hAnsi="Arial" w:cs="Arial"/>
          <w:bCs/>
          <w:sz w:val="20"/>
          <w:szCs w:val="20"/>
        </w:rPr>
        <w:t xml:space="preserve"> součástí koncesní dokumentace. </w:t>
      </w:r>
    </w:p>
    <w:p w:rsidR="008E5C75" w:rsidRPr="008E5C75" w:rsidRDefault="008E5C75" w:rsidP="008E5C75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8E5C75" w:rsidRPr="008E5C75" w:rsidRDefault="008E5C75" w:rsidP="00D468A1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E5C75">
        <w:rPr>
          <w:rFonts w:ascii="Arial" w:hAnsi="Arial" w:cs="Arial"/>
          <w:bCs/>
          <w:sz w:val="20"/>
          <w:szCs w:val="20"/>
        </w:rPr>
        <w:t>Výsledná hodnota (dle kontrolního výpočtu) dílčího hodnotícího kritéria – „Soutěžní cena v Kč/m</w:t>
      </w:r>
      <w:r w:rsidRPr="00D468A1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8E5C75">
        <w:rPr>
          <w:rFonts w:ascii="Arial" w:hAnsi="Arial" w:cs="Arial"/>
          <w:bCs/>
          <w:sz w:val="20"/>
          <w:szCs w:val="20"/>
        </w:rPr>
        <w:t>“ byla po provedené kontrole shodná s jeho nabídkou</w:t>
      </w:r>
      <w:r w:rsidR="00BD4F92">
        <w:rPr>
          <w:rFonts w:ascii="Arial" w:hAnsi="Arial" w:cs="Arial"/>
          <w:bCs/>
          <w:sz w:val="20"/>
          <w:szCs w:val="20"/>
        </w:rPr>
        <w:t xml:space="preserve"> – přílohy č. 2a,b</w:t>
      </w:r>
      <w:r w:rsidR="0069547D">
        <w:rPr>
          <w:rFonts w:ascii="Arial" w:hAnsi="Arial" w:cs="Arial"/>
          <w:bCs/>
          <w:sz w:val="20"/>
          <w:szCs w:val="20"/>
        </w:rPr>
        <w:t xml:space="preserve"> protokolu.</w:t>
      </w:r>
    </w:p>
    <w:p w:rsidR="008E5C75" w:rsidRPr="008E5C75" w:rsidRDefault="008E5C75" w:rsidP="008E5C75">
      <w:pPr>
        <w:pStyle w:val="Zkladntextodsazen2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A4005" w:rsidRDefault="00F64FB1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Komise dále posoudila ekonomickou výhodnost nabídky</w:t>
      </w:r>
      <w:r w:rsidR="00EA4005">
        <w:rPr>
          <w:rFonts w:ascii="Arial" w:hAnsi="Arial" w:cs="Arial"/>
          <w:bCs/>
          <w:sz w:val="20"/>
          <w:szCs w:val="20"/>
        </w:rPr>
        <w:t xml:space="preserve"> z pohledu výše ceny pro stočné </w:t>
      </w:r>
      <w:r w:rsidR="0069547D">
        <w:rPr>
          <w:rFonts w:ascii="Arial" w:hAnsi="Arial" w:cs="Arial"/>
          <w:bCs/>
          <w:sz w:val="20"/>
          <w:szCs w:val="20"/>
        </w:rPr>
        <w:t xml:space="preserve">pro odběratele </w:t>
      </w:r>
      <w:r w:rsidR="00EA4005">
        <w:rPr>
          <w:rFonts w:ascii="Arial" w:hAnsi="Arial" w:cs="Arial"/>
          <w:bCs/>
          <w:sz w:val="20"/>
          <w:szCs w:val="20"/>
        </w:rPr>
        <w:t>a n</w:t>
      </w:r>
      <w:r w:rsidR="00EA4005" w:rsidRPr="00EA4005">
        <w:rPr>
          <w:rFonts w:ascii="Arial" w:hAnsi="Arial" w:cs="Arial"/>
          <w:bCs/>
          <w:sz w:val="20"/>
          <w:szCs w:val="20"/>
        </w:rPr>
        <w:t>áklad</w:t>
      </w:r>
      <w:r w:rsidR="00EA4005">
        <w:rPr>
          <w:rFonts w:ascii="Arial" w:hAnsi="Arial" w:cs="Arial"/>
          <w:bCs/>
          <w:sz w:val="20"/>
          <w:szCs w:val="20"/>
        </w:rPr>
        <w:t>ů</w:t>
      </w:r>
      <w:r w:rsidR="00EA4005" w:rsidRPr="00EA4005">
        <w:rPr>
          <w:rFonts w:ascii="Arial" w:hAnsi="Arial" w:cs="Arial"/>
          <w:bCs/>
          <w:sz w:val="20"/>
          <w:szCs w:val="20"/>
        </w:rPr>
        <w:t xml:space="preserve"> </w:t>
      </w:r>
      <w:r w:rsidR="00EA4005">
        <w:rPr>
          <w:rFonts w:ascii="Arial" w:hAnsi="Arial" w:cs="Arial"/>
          <w:bCs/>
          <w:sz w:val="20"/>
          <w:szCs w:val="20"/>
        </w:rPr>
        <w:t>p</w:t>
      </w:r>
      <w:r w:rsidR="00EA4005" w:rsidRPr="00EA4005">
        <w:rPr>
          <w:rFonts w:ascii="Arial" w:hAnsi="Arial" w:cs="Arial"/>
          <w:bCs/>
          <w:sz w:val="20"/>
          <w:szCs w:val="20"/>
        </w:rPr>
        <w:t xml:space="preserve">rovozovatele na smluvní služby pro </w:t>
      </w:r>
      <w:r w:rsidR="00EA4005">
        <w:rPr>
          <w:rFonts w:ascii="Arial" w:hAnsi="Arial" w:cs="Arial"/>
          <w:bCs/>
          <w:sz w:val="20"/>
          <w:szCs w:val="20"/>
        </w:rPr>
        <w:t>v</w:t>
      </w:r>
      <w:r w:rsidR="00EA4005" w:rsidRPr="00EA4005">
        <w:rPr>
          <w:rFonts w:ascii="Arial" w:hAnsi="Arial" w:cs="Arial"/>
          <w:bCs/>
          <w:sz w:val="20"/>
          <w:szCs w:val="20"/>
        </w:rPr>
        <w:t>lastníka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EA4005" w:rsidRDefault="00EA4005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EA4005" w:rsidRDefault="00F64FB1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Nabízená cena pro stočné v roce 2019 činí </w:t>
      </w:r>
      <w:r w:rsidRPr="00F64FB1">
        <w:rPr>
          <w:rFonts w:ascii="Arial" w:hAnsi="Arial" w:cs="Arial"/>
          <w:bCs/>
          <w:sz w:val="20"/>
          <w:szCs w:val="20"/>
          <w:u w:val="single"/>
        </w:rPr>
        <w:t>37,33 Kč bez DPH/m</w:t>
      </w:r>
      <w:r w:rsidRPr="00F64FB1">
        <w:rPr>
          <w:rFonts w:ascii="Arial" w:hAnsi="Arial" w:cs="Arial"/>
          <w:bCs/>
          <w:sz w:val="20"/>
          <w:szCs w:val="20"/>
          <w:u w:val="single"/>
          <w:vertAlign w:val="superscript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Stávající regionální cena v roce 2018 </w:t>
      </w:r>
      <w:r w:rsidR="00613724">
        <w:rPr>
          <w:rFonts w:ascii="Arial" w:hAnsi="Arial" w:cs="Arial"/>
          <w:bCs/>
          <w:sz w:val="20"/>
          <w:szCs w:val="20"/>
        </w:rPr>
        <w:t>regionálního</w:t>
      </w:r>
      <w:r>
        <w:rPr>
          <w:rFonts w:ascii="Arial" w:hAnsi="Arial" w:cs="Arial"/>
          <w:bCs/>
          <w:sz w:val="20"/>
          <w:szCs w:val="20"/>
        </w:rPr>
        <w:t xml:space="preserve"> provozovatele v Moravskoslezském kraji, kterým je společnost Severomoravské vodovody a kanalizace Ostrava a.s., činí 33,42 Kč bez DPH/m</w:t>
      </w:r>
      <w:r w:rsidRPr="00F64FB1">
        <w:rPr>
          <w:rFonts w:ascii="Arial" w:hAnsi="Arial" w:cs="Arial"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F64FB1" w:rsidRDefault="00F64FB1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CC781E" w:rsidRDefault="00CC781E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Účastník ve své nabídce na str. 179 </w:t>
      </w:r>
      <w:r w:rsidR="00613724">
        <w:rPr>
          <w:rFonts w:ascii="Arial" w:hAnsi="Arial" w:cs="Arial"/>
          <w:bCs/>
          <w:sz w:val="20"/>
          <w:szCs w:val="20"/>
        </w:rPr>
        <w:t>předložil povinnou přílohou – pomocné výpočty pro stanovení</w:t>
      </w:r>
      <w:r>
        <w:rPr>
          <w:rFonts w:ascii="Arial" w:hAnsi="Arial" w:cs="Arial"/>
          <w:bCs/>
          <w:sz w:val="20"/>
          <w:szCs w:val="20"/>
        </w:rPr>
        <w:t xml:space="preserve"> ceny odpadní vody předané a výpočet ceny chemikálií pro zadání do platebního mechanismu. </w:t>
      </w:r>
      <w:r w:rsidR="00613724">
        <w:rPr>
          <w:rFonts w:ascii="Arial" w:hAnsi="Arial" w:cs="Arial"/>
          <w:bCs/>
          <w:sz w:val="20"/>
          <w:szCs w:val="20"/>
        </w:rPr>
        <w:t>Část hodnot v pomocné tabulce</w:t>
      </w:r>
      <w:r>
        <w:rPr>
          <w:rFonts w:ascii="Arial" w:hAnsi="Arial" w:cs="Arial"/>
          <w:bCs/>
          <w:sz w:val="20"/>
          <w:szCs w:val="20"/>
        </w:rPr>
        <w:t xml:space="preserve"> byly v koncesní dokumentaci nastaveny zadavatele</w:t>
      </w:r>
      <w:r w:rsidR="00613724">
        <w:rPr>
          <w:rFonts w:ascii="Arial" w:hAnsi="Arial" w:cs="Arial"/>
          <w:bCs/>
          <w:sz w:val="20"/>
          <w:szCs w:val="20"/>
        </w:rPr>
        <w:t xml:space="preserve"> dle nejlepších současných informací</w:t>
      </w:r>
      <w:r>
        <w:rPr>
          <w:rFonts w:ascii="Arial" w:hAnsi="Arial" w:cs="Arial"/>
          <w:bCs/>
          <w:sz w:val="20"/>
          <w:szCs w:val="20"/>
        </w:rPr>
        <w:t>. Tyto hodnoty budou při podpisu smlouvy aktualizovány dle v té době nejlepší dostupné znalosti. S</w:t>
      </w:r>
      <w:r w:rsidRPr="00CC781E">
        <w:rPr>
          <w:rFonts w:ascii="Arial" w:hAnsi="Arial" w:cs="Arial"/>
          <w:bCs/>
          <w:sz w:val="20"/>
          <w:szCs w:val="20"/>
        </w:rPr>
        <w:t xml:space="preserve"> největší pravděpodobností </w:t>
      </w:r>
      <w:r w:rsidR="00613724">
        <w:rPr>
          <w:rFonts w:ascii="Arial" w:hAnsi="Arial" w:cs="Arial"/>
          <w:bCs/>
          <w:sz w:val="20"/>
          <w:szCs w:val="20"/>
        </w:rPr>
        <w:t xml:space="preserve">bude možné docílit regionální ceny pro stočné pro odběratele před podpisem smlouvy.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13724" w:rsidRDefault="00613724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F64FB1" w:rsidRDefault="00EA4005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EA4005">
        <w:rPr>
          <w:rFonts w:ascii="Arial" w:hAnsi="Arial" w:cs="Arial"/>
          <w:bCs/>
          <w:sz w:val="20"/>
          <w:szCs w:val="20"/>
        </w:rPr>
        <w:t xml:space="preserve">Náklady </w:t>
      </w:r>
      <w:r>
        <w:rPr>
          <w:rFonts w:ascii="Arial" w:hAnsi="Arial" w:cs="Arial"/>
          <w:bCs/>
          <w:sz w:val="20"/>
          <w:szCs w:val="20"/>
        </w:rPr>
        <w:t>p</w:t>
      </w:r>
      <w:r w:rsidRPr="00EA4005">
        <w:rPr>
          <w:rFonts w:ascii="Arial" w:hAnsi="Arial" w:cs="Arial"/>
          <w:bCs/>
          <w:sz w:val="20"/>
          <w:szCs w:val="20"/>
        </w:rPr>
        <w:t xml:space="preserve">rovozovatele na smluvní služby pro </w:t>
      </w:r>
      <w:r>
        <w:rPr>
          <w:rFonts w:ascii="Arial" w:hAnsi="Arial" w:cs="Arial"/>
          <w:bCs/>
          <w:sz w:val="20"/>
          <w:szCs w:val="20"/>
        </w:rPr>
        <w:t>v</w:t>
      </w:r>
      <w:r w:rsidRPr="00EA4005">
        <w:rPr>
          <w:rFonts w:ascii="Arial" w:hAnsi="Arial" w:cs="Arial"/>
          <w:bCs/>
          <w:sz w:val="20"/>
          <w:szCs w:val="20"/>
        </w:rPr>
        <w:t>lastníka</w:t>
      </w:r>
      <w:r w:rsidR="00613724">
        <w:rPr>
          <w:rFonts w:ascii="Arial" w:hAnsi="Arial" w:cs="Arial"/>
          <w:bCs/>
          <w:sz w:val="20"/>
          <w:szCs w:val="20"/>
        </w:rPr>
        <w:t>, které nevstupují do ceny pro stočné pro odběratele,</w:t>
      </w:r>
      <w:r>
        <w:rPr>
          <w:rFonts w:ascii="Arial" w:hAnsi="Arial" w:cs="Arial"/>
          <w:bCs/>
          <w:sz w:val="20"/>
          <w:szCs w:val="20"/>
        </w:rPr>
        <w:t xml:space="preserve"> jsou dle nabídky účastníka ve výši 147,1 tis. Kč za rok. Za 10 let to bude 1 471 tis. Kč. Jedná</w:t>
      </w:r>
      <w:r w:rsidR="002441F6">
        <w:rPr>
          <w:rFonts w:ascii="Arial" w:hAnsi="Arial" w:cs="Arial"/>
          <w:bCs/>
          <w:sz w:val="20"/>
          <w:szCs w:val="20"/>
        </w:rPr>
        <w:t xml:space="preserve"> se mezi jinýma</w:t>
      </w:r>
      <w:r>
        <w:rPr>
          <w:rFonts w:ascii="Arial" w:hAnsi="Arial" w:cs="Arial"/>
          <w:bCs/>
          <w:sz w:val="20"/>
          <w:szCs w:val="20"/>
        </w:rPr>
        <w:t xml:space="preserve"> o tyto činnosti:</w:t>
      </w:r>
    </w:p>
    <w:p w:rsidR="00EA4005" w:rsidRDefault="00EA4005" w:rsidP="002441F6">
      <w:pPr>
        <w:pStyle w:val="Zkladntextodsazen2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4005">
        <w:rPr>
          <w:rFonts w:ascii="Arial" w:hAnsi="Arial" w:cs="Arial"/>
          <w:bCs/>
          <w:sz w:val="20"/>
          <w:szCs w:val="20"/>
        </w:rPr>
        <w:t>řádně a včas uplatňovat práva z odpovědnosti za vady Majetku</w:t>
      </w:r>
      <w:r w:rsidR="002441F6">
        <w:rPr>
          <w:rFonts w:ascii="Arial" w:hAnsi="Arial" w:cs="Arial"/>
          <w:bCs/>
          <w:sz w:val="20"/>
          <w:szCs w:val="20"/>
        </w:rPr>
        <w:t xml:space="preserve"> (i u nových staveb, které jsou v záruce);</w:t>
      </w:r>
    </w:p>
    <w:p w:rsidR="002441F6" w:rsidRDefault="002441F6" w:rsidP="002441F6">
      <w:pPr>
        <w:pStyle w:val="Zkladntextodsazen2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1F6">
        <w:rPr>
          <w:rFonts w:ascii="Arial" w:hAnsi="Arial" w:cs="Arial"/>
          <w:bCs/>
          <w:sz w:val="20"/>
          <w:szCs w:val="20"/>
        </w:rPr>
        <w:t>vést pro Vlastníka Majetkovou Evidenci a Provozní Evidenci</w:t>
      </w:r>
      <w:r>
        <w:rPr>
          <w:rFonts w:ascii="Arial" w:hAnsi="Arial" w:cs="Arial"/>
          <w:bCs/>
          <w:sz w:val="20"/>
          <w:szCs w:val="20"/>
        </w:rPr>
        <w:t>;</w:t>
      </w:r>
    </w:p>
    <w:p w:rsidR="002441F6" w:rsidRDefault="002441F6" w:rsidP="002441F6">
      <w:pPr>
        <w:pStyle w:val="Zkladntextodsazen2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1F6">
        <w:rPr>
          <w:rFonts w:ascii="Arial" w:hAnsi="Arial" w:cs="Arial"/>
          <w:bCs/>
          <w:sz w:val="20"/>
          <w:szCs w:val="20"/>
        </w:rPr>
        <w:t>poskytovat Vlastníkovi tzv. vybrané údaje z Majetkové Evidence a Provozní Evidence v dostatečném předstihu</w:t>
      </w:r>
      <w:r>
        <w:rPr>
          <w:rFonts w:ascii="Arial" w:hAnsi="Arial" w:cs="Arial"/>
          <w:bCs/>
          <w:sz w:val="20"/>
          <w:szCs w:val="20"/>
        </w:rPr>
        <w:t>;</w:t>
      </w:r>
    </w:p>
    <w:p w:rsidR="002441F6" w:rsidRDefault="002441F6" w:rsidP="002441F6">
      <w:pPr>
        <w:pStyle w:val="Zkladntextodsazen2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Vyhodnocení zkušebního provozu pro ČOV Zlatníky a ČOV Vlaštovičky;</w:t>
      </w:r>
    </w:p>
    <w:p w:rsidR="002441F6" w:rsidRDefault="002441F6" w:rsidP="002441F6">
      <w:pPr>
        <w:pStyle w:val="Zkladntextodsazen2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3" w:name="_Hlk516740649"/>
      <w:r>
        <w:rPr>
          <w:rFonts w:ascii="Arial" w:hAnsi="Arial" w:cs="Arial"/>
          <w:bCs/>
          <w:sz w:val="20"/>
          <w:szCs w:val="20"/>
        </w:rPr>
        <w:t>Součinnost provozovatele na zpracování plánu investic a obnovy</w:t>
      </w:r>
      <w:bookmarkEnd w:id="3"/>
      <w:r>
        <w:rPr>
          <w:rFonts w:ascii="Arial" w:hAnsi="Arial" w:cs="Arial"/>
          <w:bCs/>
          <w:sz w:val="20"/>
          <w:szCs w:val="20"/>
        </w:rPr>
        <w:t>;</w:t>
      </w:r>
    </w:p>
    <w:p w:rsidR="002441F6" w:rsidRDefault="002441F6" w:rsidP="002441F6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BD4F92" w:rsidRDefault="00613724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8E5C75" w:rsidRPr="008E5C75">
        <w:rPr>
          <w:rFonts w:ascii="Arial" w:hAnsi="Arial" w:cs="Arial"/>
          <w:bCs/>
          <w:sz w:val="20"/>
          <w:szCs w:val="20"/>
        </w:rPr>
        <w:t xml:space="preserve">omise při posuzování nabídky </w:t>
      </w:r>
      <w:r>
        <w:rPr>
          <w:rFonts w:ascii="Arial" w:hAnsi="Arial" w:cs="Arial"/>
          <w:bCs/>
          <w:sz w:val="20"/>
          <w:szCs w:val="20"/>
        </w:rPr>
        <w:t>účastníka</w:t>
      </w:r>
      <w:r w:rsidR="008E5C75" w:rsidRPr="008E5C75">
        <w:rPr>
          <w:rFonts w:ascii="Arial" w:hAnsi="Arial" w:cs="Arial"/>
          <w:bCs/>
          <w:sz w:val="20"/>
          <w:szCs w:val="20"/>
        </w:rPr>
        <w:t xml:space="preserve"> neshledala žádné nedostatky a komise se jednomyslně usnesla, že </w:t>
      </w:r>
      <w:r w:rsidR="002441F6">
        <w:rPr>
          <w:rFonts w:ascii="Arial" w:hAnsi="Arial" w:cs="Arial"/>
          <w:bCs/>
          <w:sz w:val="20"/>
          <w:szCs w:val="20"/>
        </w:rPr>
        <w:t xml:space="preserve">nabídka </w:t>
      </w:r>
      <w:r w:rsidR="002441F6" w:rsidRPr="002441F6">
        <w:rPr>
          <w:rFonts w:ascii="Arial" w:hAnsi="Arial" w:cs="Arial"/>
          <w:bCs/>
          <w:sz w:val="20"/>
          <w:szCs w:val="20"/>
        </w:rPr>
        <w:t xml:space="preserve">splnila </w:t>
      </w:r>
      <w:r w:rsidR="00BD4F92">
        <w:rPr>
          <w:rFonts w:ascii="Arial" w:hAnsi="Arial" w:cs="Arial"/>
          <w:bCs/>
          <w:sz w:val="20"/>
          <w:szCs w:val="20"/>
        </w:rPr>
        <w:t>zadávací podmínky</w:t>
      </w:r>
      <w:r w:rsidR="008E5C75" w:rsidRPr="008E5C75">
        <w:rPr>
          <w:rFonts w:ascii="Arial" w:hAnsi="Arial" w:cs="Arial"/>
          <w:bCs/>
          <w:sz w:val="20"/>
          <w:szCs w:val="20"/>
        </w:rPr>
        <w:t>.</w:t>
      </w:r>
      <w:r w:rsidR="002441F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Komise shledala nabídku účastníka ekonomicky výhodnou pro zadavatele.</w:t>
      </w:r>
    </w:p>
    <w:p w:rsidR="00BD4F92" w:rsidRDefault="00BD4F92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BD4F92" w:rsidRDefault="00BD4F92" w:rsidP="00BD4F92">
      <w:pPr>
        <w:pStyle w:val="Zkladntextodsazen2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Hodnocení nabídek</w:t>
      </w:r>
    </w:p>
    <w:p w:rsidR="00BD4F92" w:rsidRDefault="00BD4F92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8E5C75" w:rsidRDefault="00CC781E" w:rsidP="008E5C75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souladu s § 122 odst. 2 </w:t>
      </w:r>
      <w:r w:rsidR="0069547D">
        <w:rPr>
          <w:rFonts w:ascii="Arial" w:hAnsi="Arial" w:cs="Arial"/>
          <w:bCs/>
          <w:sz w:val="20"/>
          <w:szCs w:val="20"/>
        </w:rPr>
        <w:t>zákona č. 134/2016 Sb., o zadávání veřejných zakázek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441F6" w:rsidRPr="002441F6">
        <w:rPr>
          <w:rFonts w:ascii="Arial" w:hAnsi="Arial" w:cs="Arial"/>
          <w:bCs/>
          <w:sz w:val="20"/>
          <w:szCs w:val="20"/>
        </w:rPr>
        <w:t xml:space="preserve">komise </w:t>
      </w:r>
      <w:r w:rsidR="0069547D">
        <w:rPr>
          <w:rFonts w:ascii="Arial" w:hAnsi="Arial" w:cs="Arial"/>
          <w:bCs/>
          <w:sz w:val="20"/>
          <w:szCs w:val="20"/>
        </w:rPr>
        <w:t xml:space="preserve">neprovedla hodnocení nabídky a </w:t>
      </w:r>
      <w:r w:rsidR="002441F6" w:rsidRPr="002441F6">
        <w:rPr>
          <w:rFonts w:ascii="Arial" w:hAnsi="Arial" w:cs="Arial"/>
          <w:bCs/>
          <w:sz w:val="20"/>
          <w:szCs w:val="20"/>
        </w:rPr>
        <w:t>doporučuje zadavateli uzavřít smlouvu s</w:t>
      </w:r>
      <w:r w:rsidR="002441F6">
        <w:rPr>
          <w:rFonts w:ascii="Arial" w:hAnsi="Arial" w:cs="Arial"/>
          <w:bCs/>
          <w:sz w:val="20"/>
          <w:szCs w:val="20"/>
        </w:rPr>
        <w:t xml:space="preserve"> účastníkem </w:t>
      </w:r>
      <w:r w:rsidR="002441F6" w:rsidRPr="002441F6">
        <w:rPr>
          <w:rFonts w:ascii="Arial" w:hAnsi="Arial" w:cs="Arial"/>
          <w:bCs/>
          <w:sz w:val="20"/>
          <w:szCs w:val="20"/>
        </w:rPr>
        <w:t xml:space="preserve">č. </w:t>
      </w:r>
      <w:r w:rsidR="002441F6">
        <w:rPr>
          <w:rFonts w:ascii="Arial" w:hAnsi="Arial" w:cs="Arial"/>
          <w:bCs/>
          <w:sz w:val="20"/>
          <w:szCs w:val="20"/>
        </w:rPr>
        <w:t>1</w:t>
      </w:r>
      <w:r w:rsidR="002441F6" w:rsidRPr="002441F6">
        <w:rPr>
          <w:rFonts w:ascii="Arial" w:hAnsi="Arial" w:cs="Arial"/>
          <w:bCs/>
          <w:sz w:val="20"/>
          <w:szCs w:val="20"/>
        </w:rPr>
        <w:t>.</w:t>
      </w:r>
    </w:p>
    <w:p w:rsidR="008E5C75" w:rsidRPr="000F3429" w:rsidRDefault="008E5C75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C0066A" w:rsidRPr="000F3429" w:rsidRDefault="00C0066A" w:rsidP="00C0066A">
      <w:pPr>
        <w:pStyle w:val="Zkladntextodsazen2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0F3429">
        <w:rPr>
          <w:rFonts w:ascii="Arial" w:hAnsi="Arial" w:cs="Arial"/>
          <w:b/>
          <w:bCs/>
          <w:sz w:val="20"/>
          <w:szCs w:val="20"/>
        </w:rPr>
        <w:t>Ukončení jednání</w:t>
      </w:r>
    </w:p>
    <w:p w:rsidR="00C0066A" w:rsidRPr="000F3429" w:rsidRDefault="00C0066A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C0066A" w:rsidRPr="000F3429" w:rsidRDefault="00BD4F92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Schváleno per rollam</w:t>
      </w:r>
    </w:p>
    <w:p w:rsidR="00C0066A" w:rsidRDefault="00C0066A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BD4F92" w:rsidRDefault="00BD4F92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:rsidR="00BD4F92" w:rsidRPr="000F3429" w:rsidRDefault="00BD4F92" w:rsidP="00BD4F92">
      <w:pPr>
        <w:pStyle w:val="Zkladntextodsazen2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Přílohy</w:t>
      </w:r>
    </w:p>
    <w:p w:rsidR="00BD4F92" w:rsidRDefault="00BD4F92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1 – prohlášení o neexistenci střetu zájmu</w:t>
      </w:r>
    </w:p>
    <w:p w:rsidR="00BD4F92" w:rsidRDefault="00BD4F92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2a – soutěžní formulář nabídka účastníka</w:t>
      </w:r>
    </w:p>
    <w:p w:rsidR="00BD4F92" w:rsidRPr="000F3429" w:rsidRDefault="00BD4F92" w:rsidP="00C0066A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2b – soutěžní formulář kontrola</w:t>
      </w:r>
    </w:p>
    <w:sectPr w:rsidR="00BD4F92" w:rsidRPr="000F3429" w:rsidSect="002441F6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96" w:rsidRDefault="003E2B96" w:rsidP="00C0066A">
      <w:r>
        <w:separator/>
      </w:r>
    </w:p>
  </w:endnote>
  <w:endnote w:type="continuationSeparator" w:id="0">
    <w:p w:rsidR="003E2B96" w:rsidRDefault="003E2B96" w:rsidP="00C0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33" w:rsidRDefault="00DC4687" w:rsidP="00CD6624">
    <w:pPr>
      <w:pStyle w:val="Zpat"/>
      <w:spacing w:line="276" w:lineRule="auto"/>
      <w:jc w:val="center"/>
    </w:pPr>
    <w:r w:rsidRPr="00CD6624">
      <w:rPr>
        <w:rFonts w:ascii="Arial" w:hAnsi="Arial" w:cs="Arial"/>
        <w:sz w:val="16"/>
        <w:szCs w:val="16"/>
      </w:rPr>
      <w:fldChar w:fldCharType="begin"/>
    </w:r>
    <w:r w:rsidRPr="00CD6624">
      <w:rPr>
        <w:rFonts w:ascii="Arial" w:hAnsi="Arial" w:cs="Arial"/>
        <w:sz w:val="16"/>
        <w:szCs w:val="16"/>
      </w:rPr>
      <w:instrText xml:space="preserve"> PAGE   \* MERGEFORMAT </w:instrText>
    </w:r>
    <w:r w:rsidRPr="00CD6624">
      <w:rPr>
        <w:rFonts w:ascii="Arial" w:hAnsi="Arial" w:cs="Arial"/>
        <w:sz w:val="16"/>
        <w:szCs w:val="16"/>
      </w:rPr>
      <w:fldChar w:fldCharType="separate"/>
    </w:r>
    <w:r w:rsidR="00FA2F1F">
      <w:rPr>
        <w:rFonts w:ascii="Arial" w:hAnsi="Arial" w:cs="Arial"/>
        <w:noProof/>
        <w:sz w:val="16"/>
        <w:szCs w:val="16"/>
      </w:rPr>
      <w:t>1</w:t>
    </w:r>
    <w:r w:rsidRPr="00CD6624">
      <w:rPr>
        <w:rFonts w:ascii="Arial" w:hAnsi="Arial" w:cs="Arial"/>
        <w:sz w:val="16"/>
        <w:szCs w:val="16"/>
      </w:rPr>
      <w:fldChar w:fldCharType="end"/>
    </w:r>
  </w:p>
  <w:p w:rsidR="00450A33" w:rsidRDefault="00FA2F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96" w:rsidRDefault="003E2B96" w:rsidP="00C0066A">
      <w:r>
        <w:separator/>
      </w:r>
    </w:p>
  </w:footnote>
  <w:footnote w:type="continuationSeparator" w:id="0">
    <w:p w:rsidR="003E2B96" w:rsidRDefault="003E2B96" w:rsidP="00C0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2E" w:rsidRDefault="00FA2F1F" w:rsidP="0095292E">
    <w:pPr>
      <w:pStyle w:val="Zhlav"/>
    </w:pPr>
  </w:p>
  <w:p w:rsidR="0095292E" w:rsidRDefault="00FA2F1F" w:rsidP="0095292E">
    <w:pPr>
      <w:pStyle w:val="Zhlav"/>
    </w:pPr>
  </w:p>
  <w:p w:rsidR="00450A33" w:rsidRDefault="00FA2F1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FDF"/>
    <w:multiLevelType w:val="hybridMultilevel"/>
    <w:tmpl w:val="BF9072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75DBD"/>
    <w:multiLevelType w:val="hybridMultilevel"/>
    <w:tmpl w:val="DFCC1858"/>
    <w:lvl w:ilvl="0" w:tplc="BA865A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9C2F61"/>
    <w:multiLevelType w:val="hybridMultilevel"/>
    <w:tmpl w:val="599AC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3F6CEC"/>
    <w:multiLevelType w:val="hybridMultilevel"/>
    <w:tmpl w:val="CFF8D6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A67062"/>
    <w:multiLevelType w:val="hybridMultilevel"/>
    <w:tmpl w:val="09D81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4278B2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300C85"/>
    <w:multiLevelType w:val="multilevel"/>
    <w:tmpl w:val="4AE4A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34D68EB"/>
    <w:multiLevelType w:val="hybridMultilevel"/>
    <w:tmpl w:val="152C8D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A44C68"/>
    <w:multiLevelType w:val="hybridMultilevel"/>
    <w:tmpl w:val="A314D3EC"/>
    <w:lvl w:ilvl="0" w:tplc="B2A03A58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D723E"/>
    <w:multiLevelType w:val="hybridMultilevel"/>
    <w:tmpl w:val="2B5848E4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6A"/>
    <w:rsid w:val="00013229"/>
    <w:rsid w:val="000F3429"/>
    <w:rsid w:val="001271DB"/>
    <w:rsid w:val="002441F6"/>
    <w:rsid w:val="002F213E"/>
    <w:rsid w:val="00325447"/>
    <w:rsid w:val="003350D0"/>
    <w:rsid w:val="0035370E"/>
    <w:rsid w:val="00391128"/>
    <w:rsid w:val="003954BF"/>
    <w:rsid w:val="003E2B96"/>
    <w:rsid w:val="0040180A"/>
    <w:rsid w:val="00422A18"/>
    <w:rsid w:val="00456AE6"/>
    <w:rsid w:val="00521F5B"/>
    <w:rsid w:val="005361B5"/>
    <w:rsid w:val="00562914"/>
    <w:rsid w:val="00576140"/>
    <w:rsid w:val="005A0C17"/>
    <w:rsid w:val="005A3ADE"/>
    <w:rsid w:val="00610629"/>
    <w:rsid w:val="00613724"/>
    <w:rsid w:val="006221C5"/>
    <w:rsid w:val="0069547D"/>
    <w:rsid w:val="006C2F2A"/>
    <w:rsid w:val="006D70B9"/>
    <w:rsid w:val="00784C95"/>
    <w:rsid w:val="00803AAD"/>
    <w:rsid w:val="0082654C"/>
    <w:rsid w:val="008E5C75"/>
    <w:rsid w:val="009141CA"/>
    <w:rsid w:val="00934BE1"/>
    <w:rsid w:val="009C4069"/>
    <w:rsid w:val="00AC7494"/>
    <w:rsid w:val="00B31745"/>
    <w:rsid w:val="00B405BE"/>
    <w:rsid w:val="00BA7AEA"/>
    <w:rsid w:val="00BD4F92"/>
    <w:rsid w:val="00C0066A"/>
    <w:rsid w:val="00C32209"/>
    <w:rsid w:val="00CA2FE8"/>
    <w:rsid w:val="00CC781E"/>
    <w:rsid w:val="00CE4AD9"/>
    <w:rsid w:val="00D468A1"/>
    <w:rsid w:val="00D9595C"/>
    <w:rsid w:val="00DC4687"/>
    <w:rsid w:val="00E44830"/>
    <w:rsid w:val="00EA4005"/>
    <w:rsid w:val="00EA6DF3"/>
    <w:rsid w:val="00EF55BD"/>
    <w:rsid w:val="00F200B9"/>
    <w:rsid w:val="00F35805"/>
    <w:rsid w:val="00F64FB1"/>
    <w:rsid w:val="00F73CA9"/>
    <w:rsid w:val="00F758BD"/>
    <w:rsid w:val="00F94664"/>
    <w:rsid w:val="00F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0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C006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C0066A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C00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C0066A"/>
    <w:pPr>
      <w:ind w:left="-250" w:firstLine="250"/>
      <w:jc w:val="center"/>
    </w:p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C00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0066A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C00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C006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95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1F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1F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1F5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06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F3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0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C006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C0066A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C00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C0066A"/>
    <w:pPr>
      <w:ind w:left="-250" w:firstLine="250"/>
      <w:jc w:val="center"/>
    </w:p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C00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0066A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C00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C006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95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1F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1F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1F5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06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F3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Loskotová Veronika</dc:creator>
  <cp:lastModifiedBy>Skazíková Milena</cp:lastModifiedBy>
  <cp:revision>9</cp:revision>
  <cp:lastPrinted>2017-08-23T08:56:00Z</cp:lastPrinted>
  <dcterms:created xsi:type="dcterms:W3CDTF">2018-06-14T08:02:00Z</dcterms:created>
  <dcterms:modified xsi:type="dcterms:W3CDTF">2018-07-11T13:30:00Z</dcterms:modified>
</cp:coreProperties>
</file>