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D1" w:rsidRPr="00635E85" w:rsidRDefault="00341DD1" w:rsidP="00341DD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Komentář k hospodaření</w:t>
      </w:r>
      <w:r w:rsidRPr="00635E85">
        <w:rPr>
          <w:rFonts w:ascii="Arial" w:hAnsi="Arial" w:cs="Arial"/>
          <w:b/>
          <w:sz w:val="44"/>
          <w:szCs w:val="44"/>
        </w:rPr>
        <w:t xml:space="preserve"> Statutárního města Opavy za rok 201</w:t>
      </w:r>
      <w:r>
        <w:rPr>
          <w:rFonts w:ascii="Arial" w:hAnsi="Arial" w:cs="Arial"/>
          <w:b/>
          <w:sz w:val="44"/>
          <w:szCs w:val="44"/>
        </w:rPr>
        <w:t>9</w:t>
      </w:r>
    </w:p>
    <w:p w:rsidR="00341DD1" w:rsidRPr="00635E85" w:rsidRDefault="00341DD1" w:rsidP="00341DD1">
      <w:pPr>
        <w:rPr>
          <w:rFonts w:ascii="Arial" w:hAnsi="Arial" w:cs="Arial"/>
          <w:b/>
        </w:rPr>
      </w:pPr>
    </w:p>
    <w:p w:rsidR="00341DD1" w:rsidRDefault="00341DD1" w:rsidP="00341DD1">
      <w:pPr>
        <w:rPr>
          <w:b/>
        </w:rPr>
      </w:pPr>
    </w:p>
    <w:p w:rsidR="003479D2" w:rsidRDefault="003479D2" w:rsidP="00341DD1">
      <w:pPr>
        <w:rPr>
          <w:b/>
        </w:rPr>
      </w:pPr>
    </w:p>
    <w:p w:rsidR="00341DD1" w:rsidRPr="004B5496" w:rsidRDefault="00341DD1" w:rsidP="00341DD1">
      <w:pPr>
        <w:jc w:val="both"/>
        <w:outlineLvl w:val="0"/>
        <w:rPr>
          <w:rFonts w:ascii="Arial" w:hAnsi="Arial" w:cs="Arial"/>
          <w:b/>
          <w:i/>
          <w:sz w:val="32"/>
          <w:szCs w:val="32"/>
        </w:rPr>
      </w:pPr>
      <w:bookmarkStart w:id="0" w:name="_Toc513714447"/>
      <w:r>
        <w:rPr>
          <w:rFonts w:ascii="Arial" w:hAnsi="Arial" w:cs="Arial"/>
          <w:b/>
          <w:i/>
          <w:sz w:val="32"/>
          <w:szCs w:val="32"/>
        </w:rPr>
        <w:t>Hospodaření Statutárního města Opava</w:t>
      </w:r>
      <w:bookmarkEnd w:id="0"/>
      <w:r w:rsidRPr="004B5496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341DD1" w:rsidRPr="00761025" w:rsidRDefault="00341DD1" w:rsidP="00341DD1">
      <w:pPr>
        <w:rPr>
          <w:rFonts w:ascii="Arial" w:hAnsi="Arial" w:cs="Arial"/>
          <w:sz w:val="22"/>
          <w:szCs w:val="22"/>
        </w:rPr>
      </w:pP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 k hospodaření obsahuje nejdůležitější informace a data z přehledů, výkazů a ostatních příloh, které jsou součástí materiálu předloženého k projednávanému bodu.</w:t>
      </w: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na rok 2019 byl schválen na zasedání </w:t>
      </w:r>
      <w:r w:rsidRPr="009D24A6">
        <w:rPr>
          <w:rFonts w:ascii="Arial" w:hAnsi="Arial" w:cs="Arial"/>
          <w:sz w:val="22"/>
          <w:szCs w:val="22"/>
        </w:rPr>
        <w:t>Zastupitelstv</w:t>
      </w:r>
      <w:r>
        <w:rPr>
          <w:rFonts w:ascii="Arial" w:hAnsi="Arial" w:cs="Arial"/>
          <w:sz w:val="22"/>
          <w:szCs w:val="22"/>
        </w:rPr>
        <w:t>a</w:t>
      </w:r>
      <w:r w:rsidRPr="009D24A6">
        <w:rPr>
          <w:rFonts w:ascii="Arial" w:hAnsi="Arial" w:cs="Arial"/>
          <w:sz w:val="22"/>
          <w:szCs w:val="22"/>
        </w:rPr>
        <w:t xml:space="preserve"> </w:t>
      </w:r>
      <w:r w:rsidR="00EA26F1">
        <w:rPr>
          <w:rFonts w:ascii="Arial" w:hAnsi="Arial" w:cs="Arial"/>
          <w:sz w:val="22"/>
          <w:szCs w:val="22"/>
        </w:rPr>
        <w:t>s</w:t>
      </w:r>
      <w:r w:rsidRPr="009D24A6">
        <w:rPr>
          <w:rFonts w:ascii="Arial" w:hAnsi="Arial" w:cs="Arial"/>
          <w:sz w:val="22"/>
          <w:szCs w:val="22"/>
        </w:rPr>
        <w:t>tatutárního města Opavy</w:t>
      </w:r>
      <w:r>
        <w:rPr>
          <w:rFonts w:ascii="Arial" w:hAnsi="Arial" w:cs="Arial"/>
          <w:sz w:val="22"/>
          <w:szCs w:val="22"/>
        </w:rPr>
        <w:t xml:space="preserve"> dne 17. 12. 2018 usnesením </w:t>
      </w:r>
      <w:r w:rsidRPr="009D24A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25/2/ZM/18.</w:t>
      </w:r>
    </w:p>
    <w:p w:rsidR="0078007F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Rozpočtové příjmy byly schváleny ve výši 1.103.311.200,00 Kč a rozpočtové výdaje ve výši 1.069.791.200,00 Kč. Z tohoto pohledu by se mohlo zdát, že město mělo schválený rozpočet přebytkový s přebytkem ve výši 33.520.000,00 Kč. Na toto kladné saldo je potřeba se podívat z pohledu zda město má neuhrazené splátky mimorozpočtových zdrojů (splátky jistin, tvorba fondů), či předpokládá jejich zapojení (přijetí externích zdrojů, zůstatky minulých let, použití fondů). Tento pohled se zobrazí v části financování. </w:t>
      </w: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2019 město ve financování plánovalo:</w:t>
      </w:r>
    </w:p>
    <w:p w:rsidR="00341DD1" w:rsidRPr="00A6096C" w:rsidRDefault="00341DD1" w:rsidP="00341DD1">
      <w:pPr>
        <w:jc w:val="both"/>
        <w:rPr>
          <w:rFonts w:ascii="Arial" w:hAnsi="Arial" w:cs="Arial"/>
          <w:sz w:val="22"/>
          <w:szCs w:val="22"/>
          <w:u w:val="single"/>
        </w:rPr>
      </w:pPr>
      <w:r w:rsidRPr="00A6096C">
        <w:rPr>
          <w:rFonts w:ascii="Arial" w:hAnsi="Arial" w:cs="Arial"/>
          <w:sz w:val="22"/>
          <w:szCs w:val="22"/>
          <w:u w:val="single"/>
        </w:rPr>
        <w:t>na straně příjmů:</w:t>
      </w:r>
    </w:p>
    <w:p w:rsidR="00341DD1" w:rsidRDefault="00341DD1" w:rsidP="00341D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použití sociálního fondu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+ 5.130.200,00 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           </w:t>
      </w:r>
      <w:r w:rsidRPr="0078007F">
        <w:rPr>
          <w:rFonts w:ascii="Arial" w:hAnsi="Arial" w:cs="Arial"/>
          <w:b/>
          <w:sz w:val="22"/>
          <w:szCs w:val="22"/>
        </w:rPr>
        <w:t>celkem  + 5.130.200,00 Kč</w:t>
      </w: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 w:rsidRPr="00A6096C">
        <w:rPr>
          <w:rFonts w:ascii="Arial" w:hAnsi="Arial" w:cs="Arial"/>
          <w:sz w:val="22"/>
          <w:szCs w:val="22"/>
          <w:u w:val="single"/>
        </w:rPr>
        <w:t>na straně výdajů</w:t>
      </w:r>
      <w:r>
        <w:rPr>
          <w:rFonts w:ascii="Arial" w:hAnsi="Arial" w:cs="Arial"/>
          <w:sz w:val="22"/>
          <w:szCs w:val="22"/>
        </w:rPr>
        <w:t>:</w:t>
      </w:r>
    </w:p>
    <w:p w:rsidR="00341DD1" w:rsidRDefault="00341DD1" w:rsidP="0034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sociálního fondu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- 5.130.200,00 Kč</w:t>
      </w:r>
    </w:p>
    <w:p w:rsidR="00341DD1" w:rsidRDefault="00341DD1" w:rsidP="0034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zajišťovacího fondu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          -    100.000,00 Kč</w:t>
      </w:r>
    </w:p>
    <w:p w:rsidR="00341DD1" w:rsidRDefault="00341DD1" w:rsidP="0034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fondu obnovy vodovodů a kanalizací                                     -  3.420.000,00 Kč</w:t>
      </w:r>
    </w:p>
    <w:p w:rsidR="00341DD1" w:rsidRDefault="00341DD1" w:rsidP="00341D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splátka revolvingového úvěru (</w:t>
      </w:r>
      <w:r w:rsidR="00D921D3">
        <w:rPr>
          <w:rFonts w:ascii="Arial" w:hAnsi="Arial" w:cs="Arial"/>
          <w:sz w:val="22"/>
          <w:szCs w:val="22"/>
        </w:rPr>
        <w:t>ČSOB 280 mil</w:t>
      </w:r>
      <w:r>
        <w:rPr>
          <w:rFonts w:ascii="Arial" w:hAnsi="Arial" w:cs="Arial"/>
          <w:sz w:val="22"/>
          <w:szCs w:val="22"/>
        </w:rPr>
        <w:t xml:space="preserve">.)                                - 30.000.000,00 Kč </w:t>
      </w:r>
      <w:r>
        <w:rPr>
          <w:rFonts w:ascii="Arial" w:hAnsi="Arial" w:cs="Arial"/>
          <w:sz w:val="22"/>
          <w:szCs w:val="22"/>
        </w:rPr>
        <w:tab/>
      </w:r>
      <w:r>
        <w:t>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                  </w:t>
      </w:r>
      <w:r w:rsidRPr="0078007F">
        <w:rPr>
          <w:rFonts w:ascii="Arial" w:hAnsi="Arial" w:cs="Arial"/>
          <w:b/>
          <w:sz w:val="22"/>
          <w:szCs w:val="22"/>
        </w:rPr>
        <w:t>celkem - 38.650.200,00 Kč</w:t>
      </w:r>
    </w:p>
    <w:p w:rsidR="00A04320" w:rsidRDefault="00A04320" w:rsidP="00A0432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vyplývá, že saldo financování bylo schváleno ve výši – 33.520.000,00 Kč. </w:t>
      </w:r>
    </w:p>
    <w:p w:rsidR="00341DD1" w:rsidRDefault="00341DD1" w:rsidP="00341D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zohlednění salda financování (v případě kladného salda se přičítá k příjmům, v případě záporného salda se od příjmů odčítá) byl rozpočet schválen jako vyrovnaný ve výši 1.069.791.200,00 Kč</w:t>
      </w:r>
    </w:p>
    <w:p w:rsidR="003A46CE" w:rsidRDefault="003A46CE" w:rsidP="00341DD1">
      <w:pPr>
        <w:jc w:val="both"/>
        <w:rPr>
          <w:rFonts w:ascii="Arial" w:hAnsi="Arial" w:cs="Arial"/>
          <w:sz w:val="22"/>
          <w:szCs w:val="22"/>
        </w:rPr>
      </w:pPr>
    </w:p>
    <w:p w:rsidR="000F4106" w:rsidRDefault="000F4106" w:rsidP="000F4106">
      <w:pPr>
        <w:jc w:val="both"/>
        <w:rPr>
          <w:rFonts w:ascii="Arial" w:hAnsi="Arial" w:cs="Arial"/>
          <w:sz w:val="22"/>
          <w:szCs w:val="22"/>
        </w:rPr>
      </w:pPr>
      <w:r w:rsidRPr="009D24A6">
        <w:rPr>
          <w:rFonts w:ascii="Arial" w:hAnsi="Arial" w:cs="Arial"/>
          <w:sz w:val="22"/>
          <w:szCs w:val="22"/>
        </w:rPr>
        <w:t xml:space="preserve">Schválený rozpočet příjmů představoval daňové příjmy ve výši </w:t>
      </w:r>
      <w:r>
        <w:rPr>
          <w:rFonts w:ascii="Arial" w:hAnsi="Arial" w:cs="Arial"/>
          <w:sz w:val="22"/>
          <w:szCs w:val="22"/>
        </w:rPr>
        <w:t>908.093.400,00</w:t>
      </w:r>
      <w:r w:rsidRPr="009D24A6">
        <w:rPr>
          <w:rFonts w:ascii="Arial" w:hAnsi="Arial" w:cs="Arial"/>
          <w:sz w:val="22"/>
          <w:szCs w:val="22"/>
        </w:rPr>
        <w:t xml:space="preserve"> Kč, nedaňové příjmy ve výši </w:t>
      </w:r>
      <w:r>
        <w:rPr>
          <w:rFonts w:ascii="Arial" w:hAnsi="Arial" w:cs="Arial"/>
          <w:sz w:val="22"/>
          <w:szCs w:val="22"/>
        </w:rPr>
        <w:t>118.023.800,00</w:t>
      </w:r>
      <w:r w:rsidRPr="009D24A6">
        <w:rPr>
          <w:rFonts w:ascii="Arial" w:hAnsi="Arial" w:cs="Arial"/>
          <w:sz w:val="22"/>
          <w:szCs w:val="22"/>
        </w:rPr>
        <w:t xml:space="preserve"> Kč, kapitálové příjmy ve výši </w:t>
      </w:r>
      <w:r>
        <w:rPr>
          <w:rFonts w:ascii="Arial" w:hAnsi="Arial" w:cs="Arial"/>
          <w:sz w:val="22"/>
          <w:szCs w:val="22"/>
        </w:rPr>
        <w:t>12.070.000,00</w:t>
      </w:r>
      <w:r w:rsidR="00067D73">
        <w:rPr>
          <w:rFonts w:ascii="Arial" w:hAnsi="Arial" w:cs="Arial"/>
          <w:sz w:val="22"/>
          <w:szCs w:val="22"/>
        </w:rPr>
        <w:t xml:space="preserve"> Kč a </w:t>
      </w:r>
      <w:r w:rsidRPr="009D24A6">
        <w:rPr>
          <w:rFonts w:ascii="Arial" w:hAnsi="Arial" w:cs="Arial"/>
          <w:sz w:val="22"/>
          <w:szCs w:val="22"/>
        </w:rPr>
        <w:t>přijaté dotace</w:t>
      </w:r>
      <w:r>
        <w:rPr>
          <w:rFonts w:ascii="Arial" w:hAnsi="Arial" w:cs="Arial"/>
          <w:sz w:val="22"/>
          <w:szCs w:val="22"/>
        </w:rPr>
        <w:t xml:space="preserve">, které </w:t>
      </w:r>
      <w:r w:rsidRPr="009D24A6">
        <w:rPr>
          <w:rFonts w:ascii="Arial" w:hAnsi="Arial" w:cs="Arial"/>
          <w:sz w:val="22"/>
          <w:szCs w:val="22"/>
        </w:rPr>
        <w:t>představ</w:t>
      </w:r>
      <w:r>
        <w:rPr>
          <w:rFonts w:ascii="Arial" w:hAnsi="Arial" w:cs="Arial"/>
          <w:sz w:val="22"/>
          <w:szCs w:val="22"/>
        </w:rPr>
        <w:t xml:space="preserve">ují </w:t>
      </w:r>
      <w:r w:rsidRPr="009D24A6">
        <w:rPr>
          <w:rFonts w:ascii="Arial" w:hAnsi="Arial" w:cs="Arial"/>
          <w:sz w:val="22"/>
          <w:szCs w:val="22"/>
        </w:rPr>
        <w:t xml:space="preserve">neinvestiční přijatý </w:t>
      </w:r>
      <w:r>
        <w:rPr>
          <w:rFonts w:ascii="Arial" w:hAnsi="Arial" w:cs="Arial"/>
          <w:sz w:val="22"/>
          <w:szCs w:val="22"/>
        </w:rPr>
        <w:t>transfer ze státního rozpočtu v </w:t>
      </w:r>
      <w:r w:rsidRPr="009D24A6">
        <w:rPr>
          <w:rFonts w:ascii="Arial" w:hAnsi="Arial" w:cs="Arial"/>
          <w:sz w:val="22"/>
          <w:szCs w:val="22"/>
        </w:rPr>
        <w:t>rámci souhrnného dotačního vztahu</w:t>
      </w:r>
      <w:r>
        <w:rPr>
          <w:rFonts w:ascii="Arial" w:hAnsi="Arial" w:cs="Arial"/>
          <w:sz w:val="22"/>
          <w:szCs w:val="22"/>
        </w:rPr>
        <w:t xml:space="preserve"> na výkon v přenesené působnosti</w:t>
      </w:r>
      <w:r w:rsidR="00A5680C">
        <w:rPr>
          <w:rFonts w:ascii="Arial" w:hAnsi="Arial" w:cs="Arial"/>
          <w:sz w:val="22"/>
          <w:szCs w:val="22"/>
        </w:rPr>
        <w:t xml:space="preserve"> </w:t>
      </w:r>
      <w:r w:rsidR="00A5680C" w:rsidRPr="009D24A6">
        <w:rPr>
          <w:rFonts w:ascii="Arial" w:hAnsi="Arial" w:cs="Arial"/>
          <w:sz w:val="22"/>
          <w:szCs w:val="22"/>
        </w:rPr>
        <w:t xml:space="preserve">ve výši </w:t>
      </w:r>
      <w:r w:rsidR="00A5680C">
        <w:rPr>
          <w:rFonts w:ascii="Arial" w:hAnsi="Arial" w:cs="Arial"/>
          <w:sz w:val="22"/>
          <w:szCs w:val="22"/>
        </w:rPr>
        <w:t>65.124.000,00</w:t>
      </w:r>
      <w:r w:rsidR="00A5680C" w:rsidRPr="009D24A6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0F4106" w:rsidRDefault="000F4106" w:rsidP="000F4106">
      <w:pPr>
        <w:jc w:val="both"/>
        <w:rPr>
          <w:rFonts w:ascii="Arial" w:hAnsi="Arial" w:cs="Arial"/>
          <w:sz w:val="22"/>
          <w:szCs w:val="22"/>
        </w:rPr>
      </w:pPr>
      <w:r w:rsidRPr="009D24A6">
        <w:rPr>
          <w:rFonts w:ascii="Arial" w:hAnsi="Arial" w:cs="Arial"/>
          <w:sz w:val="22"/>
          <w:szCs w:val="22"/>
        </w:rPr>
        <w:t xml:space="preserve">Schválený rozpočet výdajů se členil na běžné výdaje ve výši </w:t>
      </w:r>
      <w:r>
        <w:rPr>
          <w:rFonts w:ascii="Arial" w:hAnsi="Arial" w:cs="Arial"/>
          <w:sz w:val="22"/>
          <w:szCs w:val="22"/>
        </w:rPr>
        <w:t>974.324.800,00</w:t>
      </w:r>
      <w:r w:rsidRPr="009D24A6">
        <w:rPr>
          <w:rFonts w:ascii="Arial" w:hAnsi="Arial" w:cs="Arial"/>
          <w:sz w:val="22"/>
          <w:szCs w:val="22"/>
        </w:rPr>
        <w:t xml:space="preserve"> Kč a kapitálové výdaje </w:t>
      </w:r>
      <w:r>
        <w:rPr>
          <w:rFonts w:ascii="Arial" w:hAnsi="Arial" w:cs="Arial"/>
          <w:sz w:val="22"/>
          <w:szCs w:val="22"/>
        </w:rPr>
        <w:t>ve výši 95.466.400,00</w:t>
      </w:r>
      <w:r w:rsidRPr="009D24A6">
        <w:rPr>
          <w:rFonts w:ascii="Arial" w:hAnsi="Arial" w:cs="Arial"/>
          <w:sz w:val="22"/>
          <w:szCs w:val="22"/>
        </w:rPr>
        <w:t xml:space="preserve"> Kč.</w:t>
      </w:r>
    </w:p>
    <w:p w:rsidR="003A46CE" w:rsidRPr="009D24A6" w:rsidRDefault="003A46CE" w:rsidP="000F4106">
      <w:pPr>
        <w:jc w:val="both"/>
        <w:rPr>
          <w:rFonts w:ascii="Arial" w:hAnsi="Arial" w:cs="Arial"/>
          <w:sz w:val="22"/>
          <w:szCs w:val="22"/>
        </w:rPr>
      </w:pPr>
    </w:p>
    <w:p w:rsidR="007279BB" w:rsidRDefault="007279BB" w:rsidP="007279BB">
      <w:pPr>
        <w:jc w:val="both"/>
        <w:rPr>
          <w:rFonts w:ascii="Arial" w:hAnsi="Arial" w:cs="Arial"/>
          <w:sz w:val="22"/>
          <w:szCs w:val="22"/>
        </w:rPr>
      </w:pPr>
      <w:r w:rsidRPr="009D24A6">
        <w:rPr>
          <w:rFonts w:ascii="Arial" w:hAnsi="Arial" w:cs="Arial"/>
          <w:sz w:val="22"/>
          <w:szCs w:val="22"/>
        </w:rPr>
        <w:t>V průběhu roku 201</w:t>
      </w:r>
      <w:r>
        <w:rPr>
          <w:rFonts w:ascii="Arial" w:hAnsi="Arial" w:cs="Arial"/>
          <w:sz w:val="22"/>
          <w:szCs w:val="22"/>
        </w:rPr>
        <w:t>9</w:t>
      </w:r>
      <w:r w:rsidRPr="009D2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</w:t>
      </w:r>
      <w:r w:rsidRPr="009D2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schválený rozpočet </w:t>
      </w:r>
      <w:r w:rsidRPr="009D24A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základě rozpočtových opatření</w:t>
      </w:r>
      <w:r w:rsidRPr="009D24A6">
        <w:rPr>
          <w:rFonts w:ascii="Arial" w:hAnsi="Arial" w:cs="Arial"/>
          <w:sz w:val="22"/>
          <w:szCs w:val="22"/>
        </w:rPr>
        <w:t xml:space="preserve"> schválených radou nebo zastupitelstvem města Opavy</w:t>
      </w:r>
      <w:r>
        <w:rPr>
          <w:rFonts w:ascii="Arial" w:hAnsi="Arial" w:cs="Arial"/>
          <w:sz w:val="22"/>
          <w:szCs w:val="22"/>
        </w:rPr>
        <w:t xml:space="preserve"> upraven:</w:t>
      </w:r>
    </w:p>
    <w:p w:rsidR="007279BB" w:rsidRDefault="007279BB" w:rsidP="007279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7279BB">
        <w:rPr>
          <w:rFonts w:ascii="Arial" w:hAnsi="Arial" w:cs="Arial"/>
          <w:sz w:val="22"/>
          <w:szCs w:val="22"/>
        </w:rPr>
        <w:t>příjmové straně na celkovou výši 1.350.357.652,11 Kč</w:t>
      </w:r>
    </w:p>
    <w:p w:rsidR="007279BB" w:rsidRDefault="007279BB" w:rsidP="007279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výdajové straně na celkovou výši 1.750.712.627,53 Kč</w:t>
      </w:r>
    </w:p>
    <w:p w:rsidR="007279BB" w:rsidRDefault="007279BB" w:rsidP="007279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79BB">
        <w:rPr>
          <w:rFonts w:ascii="Arial" w:hAnsi="Arial" w:cs="Arial"/>
          <w:sz w:val="22"/>
          <w:szCs w:val="22"/>
        </w:rPr>
        <w:t xml:space="preserve">saldo financování bylo upraveno na výši + 400.354.975,42 Kč  </w:t>
      </w:r>
    </w:p>
    <w:p w:rsidR="007279BB" w:rsidRDefault="007279BB" w:rsidP="007279BB">
      <w:pPr>
        <w:jc w:val="both"/>
        <w:rPr>
          <w:rFonts w:ascii="Arial" w:hAnsi="Arial" w:cs="Arial"/>
          <w:sz w:val="22"/>
          <w:szCs w:val="22"/>
        </w:rPr>
      </w:pPr>
    </w:p>
    <w:p w:rsidR="003A46CE" w:rsidRDefault="007279BB" w:rsidP="007279BB">
      <w:pPr>
        <w:jc w:val="both"/>
        <w:rPr>
          <w:rFonts w:ascii="Arial" w:hAnsi="Arial" w:cs="Arial"/>
          <w:sz w:val="22"/>
          <w:szCs w:val="22"/>
        </w:rPr>
      </w:pPr>
      <w:r w:rsidRPr="007279BB">
        <w:rPr>
          <w:rFonts w:ascii="Arial" w:hAnsi="Arial" w:cs="Arial"/>
          <w:sz w:val="22"/>
          <w:szCs w:val="22"/>
        </w:rPr>
        <w:t>Výše uvedené informace lze vyčíst z Výkazu pro hodnocení plnění rozpočtu FIN 2-12 (</w:t>
      </w:r>
      <w:hyperlink r:id="rId7" w:history="1">
        <w:r w:rsidRPr="00B06492">
          <w:rPr>
            <w:rStyle w:val="Hypertextovodkaz"/>
            <w:rFonts w:ascii="Arial" w:hAnsi="Arial" w:cs="Arial"/>
            <w:sz w:val="22"/>
            <w:szCs w:val="22"/>
          </w:rPr>
          <w:t>příloha A_03</w:t>
        </w:r>
      </w:hyperlink>
      <w:r w:rsidRPr="007279BB">
        <w:rPr>
          <w:rFonts w:ascii="Arial" w:hAnsi="Arial" w:cs="Arial"/>
          <w:sz w:val="22"/>
          <w:szCs w:val="22"/>
        </w:rPr>
        <w:t>) nebo z Přehledu pro hodnocení plnění rozpočtu 120 (</w:t>
      </w:r>
      <w:hyperlink r:id="rId8" w:history="1">
        <w:r w:rsidRPr="00B06492">
          <w:rPr>
            <w:rStyle w:val="Hypertextovodkaz"/>
            <w:rFonts w:ascii="Arial" w:hAnsi="Arial" w:cs="Arial"/>
            <w:sz w:val="22"/>
            <w:szCs w:val="22"/>
          </w:rPr>
          <w:t>viz příloha A_04</w:t>
        </w:r>
      </w:hyperlink>
      <w:r w:rsidRPr="007279BB">
        <w:rPr>
          <w:rFonts w:ascii="Arial" w:hAnsi="Arial" w:cs="Arial"/>
          <w:sz w:val="22"/>
          <w:szCs w:val="22"/>
        </w:rPr>
        <w:t>).</w:t>
      </w:r>
    </w:p>
    <w:p w:rsidR="007279BB" w:rsidRDefault="007279BB" w:rsidP="0072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Výsledek rozpočtového hospodaření v letech 201</w:t>
      </w:r>
      <w:r w:rsidR="007C2A2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201</w:t>
      </w:r>
      <w:r w:rsidR="007C2A2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je obsažen v tabulce výsledek rozpočtového hospodaření </w:t>
      </w:r>
      <w:r w:rsidRPr="00A336EA">
        <w:rPr>
          <w:rFonts w:ascii="Arial" w:hAnsi="Arial" w:cs="Arial"/>
          <w:sz w:val="22"/>
          <w:szCs w:val="22"/>
        </w:rPr>
        <w:t>(</w:t>
      </w:r>
      <w:hyperlink r:id="rId9" w:history="1">
        <w:r w:rsidRPr="00DC1C0B">
          <w:rPr>
            <w:rStyle w:val="Hypertextovodkaz"/>
            <w:rFonts w:ascii="Arial" w:hAnsi="Arial" w:cs="Arial"/>
            <w:sz w:val="22"/>
            <w:szCs w:val="22"/>
          </w:rPr>
          <w:t>příloha A_08</w:t>
        </w:r>
      </w:hyperlink>
      <w:r w:rsidRPr="00A336E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nebo </w:t>
      </w:r>
      <w:r w:rsidR="007C2A22">
        <w:rPr>
          <w:rFonts w:ascii="Arial" w:hAnsi="Arial" w:cs="Arial"/>
          <w:sz w:val="22"/>
          <w:szCs w:val="22"/>
        </w:rPr>
        <w:t>podrobněji</w:t>
      </w:r>
      <w:r>
        <w:rPr>
          <w:rFonts w:ascii="Arial" w:hAnsi="Arial" w:cs="Arial"/>
          <w:sz w:val="22"/>
          <w:szCs w:val="22"/>
        </w:rPr>
        <w:t xml:space="preserve"> v t</w:t>
      </w:r>
      <w:r w:rsidR="007C2A22">
        <w:rPr>
          <w:rFonts w:ascii="Arial" w:hAnsi="Arial" w:cs="Arial"/>
          <w:sz w:val="22"/>
          <w:szCs w:val="22"/>
        </w:rPr>
        <w:t>abulce plnění rozpočtu příjmy a </w:t>
      </w:r>
      <w:r>
        <w:rPr>
          <w:rFonts w:ascii="Arial" w:hAnsi="Arial" w:cs="Arial"/>
          <w:sz w:val="22"/>
          <w:szCs w:val="22"/>
        </w:rPr>
        <w:t xml:space="preserve">výdaje </w:t>
      </w:r>
      <w:r w:rsidRPr="00A336EA">
        <w:rPr>
          <w:rFonts w:ascii="Arial" w:hAnsi="Arial" w:cs="Arial"/>
          <w:sz w:val="22"/>
          <w:szCs w:val="22"/>
        </w:rPr>
        <w:t>(</w:t>
      </w:r>
      <w:hyperlink r:id="rId10" w:history="1">
        <w:r w:rsidRPr="00DC1C0B">
          <w:rPr>
            <w:rStyle w:val="Hypertextovodkaz"/>
            <w:rFonts w:ascii="Arial" w:hAnsi="Arial" w:cs="Arial"/>
            <w:sz w:val="22"/>
            <w:szCs w:val="22"/>
          </w:rPr>
          <w:t>příloha A_07</w:t>
        </w:r>
      </w:hyperlink>
      <w:r w:rsidRPr="00A336E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B64F9" w:rsidRDefault="007279BB" w:rsidP="0072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Saldo příjmů a výdajů po konsolidaci bylo k 31.</w:t>
      </w:r>
      <w:r w:rsidR="000B64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12. 2019 ve výši </w:t>
      </w:r>
      <w:r w:rsidR="000B64F9">
        <w:rPr>
          <w:rFonts w:ascii="Arial" w:hAnsi="Arial" w:cs="Arial"/>
          <w:sz w:val="22"/>
          <w:szCs w:val="22"/>
        </w:rPr>
        <w:t>142.848.857,28 Kč. Toto saldo odpovídá saldu financování</w:t>
      </w:r>
      <w:r w:rsidR="00E96F8A">
        <w:rPr>
          <w:rFonts w:ascii="Arial" w:hAnsi="Arial" w:cs="Arial"/>
          <w:sz w:val="22"/>
          <w:szCs w:val="22"/>
        </w:rPr>
        <w:t xml:space="preserve"> (jen s opačným znaménkem, tzn. město splácelo více jistin </w:t>
      </w:r>
      <w:proofErr w:type="gramStart"/>
      <w:r w:rsidR="00E96F8A">
        <w:rPr>
          <w:rFonts w:ascii="Arial" w:hAnsi="Arial" w:cs="Arial"/>
          <w:sz w:val="22"/>
          <w:szCs w:val="22"/>
        </w:rPr>
        <w:t>úvěrů než</w:t>
      </w:r>
      <w:proofErr w:type="gramEnd"/>
      <w:r w:rsidR="00E96F8A">
        <w:rPr>
          <w:rFonts w:ascii="Arial" w:hAnsi="Arial" w:cs="Arial"/>
          <w:sz w:val="22"/>
          <w:szCs w:val="22"/>
        </w:rPr>
        <w:t xml:space="preserve"> přijalo a splátky </w:t>
      </w:r>
      <w:r w:rsidR="004561FC">
        <w:rPr>
          <w:rFonts w:ascii="Arial" w:hAnsi="Arial" w:cs="Arial"/>
          <w:sz w:val="22"/>
          <w:szCs w:val="22"/>
        </w:rPr>
        <w:t xml:space="preserve">byly </w:t>
      </w:r>
      <w:r w:rsidR="00E96F8A">
        <w:rPr>
          <w:rFonts w:ascii="Arial" w:hAnsi="Arial" w:cs="Arial"/>
          <w:sz w:val="22"/>
          <w:szCs w:val="22"/>
        </w:rPr>
        <w:t>kr</w:t>
      </w:r>
      <w:r w:rsidR="004561FC">
        <w:rPr>
          <w:rFonts w:ascii="Arial" w:hAnsi="Arial" w:cs="Arial"/>
          <w:sz w:val="22"/>
          <w:szCs w:val="22"/>
        </w:rPr>
        <w:t>yty</w:t>
      </w:r>
      <w:r w:rsidR="00E96F8A">
        <w:rPr>
          <w:rFonts w:ascii="Arial" w:hAnsi="Arial" w:cs="Arial"/>
          <w:sz w:val="22"/>
          <w:szCs w:val="22"/>
        </w:rPr>
        <w:t xml:space="preserve"> z vlastních zdrojů)</w:t>
      </w:r>
      <w:r w:rsidR="000B64F9">
        <w:rPr>
          <w:rFonts w:ascii="Arial" w:hAnsi="Arial" w:cs="Arial"/>
          <w:sz w:val="22"/>
          <w:szCs w:val="22"/>
        </w:rPr>
        <w:t>:</w:t>
      </w:r>
    </w:p>
    <w:p w:rsidR="000B64F9" w:rsidRDefault="000B64F9" w:rsidP="007279BB">
      <w:p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  <w:u w:val="single"/>
        </w:rPr>
        <w:t>na straně příjmů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B64F9" w:rsidRDefault="000B64F9" w:rsidP="000B64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</w:rPr>
        <w:t>změna stavu běžných účtů (finanční vypořádání, zapojení zůstatku běžných účtů)</w:t>
      </w:r>
    </w:p>
    <w:p w:rsidR="000B64F9" w:rsidRDefault="000B64F9" w:rsidP="000B64F9">
      <w:pPr>
        <w:pStyle w:val="Odstavecseseznamem"/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- 75.012.336,08 Kč</w:t>
      </w:r>
    </w:p>
    <w:p w:rsidR="000B64F9" w:rsidRDefault="000B64F9" w:rsidP="000B64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</w:rPr>
        <w:t>aktivní krátkodobé operace řízení likvidity</w:t>
      </w:r>
      <w:r w:rsidR="00E77777">
        <w:rPr>
          <w:rFonts w:ascii="Arial" w:hAnsi="Arial" w:cs="Arial"/>
          <w:sz w:val="22"/>
          <w:szCs w:val="22"/>
        </w:rPr>
        <w:t xml:space="preserve"> příjmy</w:t>
      </w:r>
      <w:r w:rsidR="00592FDA">
        <w:rPr>
          <w:rFonts w:ascii="Arial" w:hAnsi="Arial" w:cs="Arial"/>
          <w:sz w:val="22"/>
          <w:szCs w:val="22"/>
        </w:rPr>
        <w:t xml:space="preserve"> (termínovaný účet)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600.000.000,00 Kč</w:t>
      </w:r>
    </w:p>
    <w:p w:rsidR="000B64F9" w:rsidRDefault="000B64F9" w:rsidP="000B64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revolvingového úvěru (KB 460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129.934.812,56 Kč</w:t>
      </w:r>
    </w:p>
    <w:p w:rsidR="000B64F9" w:rsidRDefault="000B64F9" w:rsidP="000B64F9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  <w:r w:rsidRPr="000B64F9">
        <w:rPr>
          <w:rFonts w:ascii="Arial" w:hAnsi="Arial" w:cs="Arial"/>
          <w:b/>
          <w:sz w:val="22"/>
          <w:szCs w:val="22"/>
        </w:rPr>
        <w:t xml:space="preserve">celkem </w:t>
      </w:r>
      <w:r w:rsidR="00592FDA">
        <w:rPr>
          <w:rFonts w:ascii="Arial" w:hAnsi="Arial" w:cs="Arial"/>
          <w:b/>
          <w:sz w:val="22"/>
          <w:szCs w:val="22"/>
        </w:rPr>
        <w:t>           </w:t>
      </w:r>
      <w:r w:rsidRPr="000B64F9">
        <w:rPr>
          <w:rFonts w:ascii="Arial" w:hAnsi="Arial" w:cs="Arial"/>
          <w:b/>
          <w:sz w:val="22"/>
          <w:szCs w:val="22"/>
        </w:rPr>
        <w:t>654.922.476,48 Kč</w:t>
      </w:r>
    </w:p>
    <w:p w:rsidR="00E77777" w:rsidRDefault="00E77777" w:rsidP="00E77777">
      <w:pPr>
        <w:jc w:val="both"/>
        <w:rPr>
          <w:rFonts w:ascii="Arial" w:hAnsi="Arial" w:cs="Arial"/>
          <w:sz w:val="22"/>
          <w:szCs w:val="22"/>
        </w:rPr>
      </w:pPr>
      <w:r w:rsidRPr="00E77777">
        <w:rPr>
          <w:rFonts w:ascii="Arial" w:hAnsi="Arial" w:cs="Arial"/>
          <w:sz w:val="22"/>
          <w:szCs w:val="22"/>
          <w:u w:val="single"/>
        </w:rPr>
        <w:t>na straně výdajů</w:t>
      </w:r>
      <w:r w:rsidRPr="00E77777">
        <w:rPr>
          <w:rFonts w:ascii="Arial" w:hAnsi="Arial" w:cs="Arial"/>
          <w:sz w:val="22"/>
          <w:szCs w:val="22"/>
        </w:rPr>
        <w:t>:</w:t>
      </w:r>
    </w:p>
    <w:p w:rsidR="003B17FC" w:rsidRDefault="003B17FC" w:rsidP="003B17F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17FC">
        <w:rPr>
          <w:rFonts w:ascii="Arial" w:hAnsi="Arial" w:cs="Arial"/>
          <w:sz w:val="22"/>
          <w:szCs w:val="22"/>
        </w:rPr>
        <w:t>aktivní krátkodobé operace řízení likvidity příjmy</w:t>
      </w:r>
      <w:r w:rsidR="00592FDA">
        <w:rPr>
          <w:rFonts w:ascii="Arial" w:hAnsi="Arial" w:cs="Arial"/>
          <w:sz w:val="22"/>
          <w:szCs w:val="22"/>
        </w:rPr>
        <w:t xml:space="preserve"> (termínovaný účet)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 w:rsidR="00592F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600.000.000,00 Kč</w:t>
      </w:r>
    </w:p>
    <w:p w:rsidR="003B17FC" w:rsidRDefault="003B17FC" w:rsidP="003B17F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splátka revolvingového úvěru (KB 460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167.771.333,76 Kč</w:t>
      </w:r>
    </w:p>
    <w:p w:rsidR="003B17FC" w:rsidRDefault="003B17FC" w:rsidP="003B17F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splátka úvěru ČSOB (280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30.000.000,00 Kč</w:t>
      </w:r>
    </w:p>
    <w:p w:rsidR="003B17FC" w:rsidRDefault="003B17FC" w:rsidP="003B17FC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  <w:r w:rsidRPr="003B17FC">
        <w:rPr>
          <w:rFonts w:ascii="Arial" w:hAnsi="Arial" w:cs="Arial"/>
          <w:b/>
          <w:sz w:val="22"/>
          <w:szCs w:val="22"/>
        </w:rPr>
        <w:t>celkem           797.771.333,76 Kč</w:t>
      </w:r>
    </w:p>
    <w:p w:rsidR="00E96F8A" w:rsidRDefault="00E96F8A" w:rsidP="003B17FC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  <w:r w:rsidRPr="00E96F8A">
        <w:rPr>
          <w:rFonts w:ascii="Arial" w:hAnsi="Arial" w:cs="Arial"/>
          <w:b/>
          <w:sz w:val="22"/>
          <w:szCs w:val="22"/>
        </w:rPr>
        <w:t>saldo           -  142.848.857,28 Kč</w:t>
      </w:r>
    </w:p>
    <w:p w:rsidR="00B1353A" w:rsidRPr="00E96F8A" w:rsidRDefault="00B1353A" w:rsidP="003B17FC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</w:p>
    <w:p w:rsidR="007279BB" w:rsidRDefault="00436981" w:rsidP="0072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31. 12. 2019</w:t>
      </w:r>
      <w:r w:rsidR="007279BB">
        <w:rPr>
          <w:rFonts w:ascii="Arial" w:hAnsi="Arial" w:cs="Arial"/>
          <w:sz w:val="22"/>
          <w:szCs w:val="22"/>
        </w:rPr>
        <w:t xml:space="preserve"> byl zůstatek bankovních účtů </w:t>
      </w:r>
      <w:r w:rsidR="004D5BB5">
        <w:rPr>
          <w:rFonts w:ascii="Arial" w:hAnsi="Arial" w:cs="Arial"/>
          <w:sz w:val="22"/>
          <w:szCs w:val="22"/>
        </w:rPr>
        <w:t>407.058.735,94</w:t>
      </w:r>
      <w:r w:rsidR="007279BB">
        <w:rPr>
          <w:rFonts w:ascii="Arial" w:hAnsi="Arial" w:cs="Arial"/>
          <w:sz w:val="22"/>
          <w:szCs w:val="22"/>
        </w:rPr>
        <w:t xml:space="preserve"> Kč, z toho základní běžný účet (ZBÚ) vykazoval zůstatek </w:t>
      </w:r>
      <w:r w:rsidR="004D5BB5">
        <w:rPr>
          <w:rFonts w:ascii="Arial" w:hAnsi="Arial" w:cs="Arial"/>
          <w:sz w:val="22"/>
          <w:szCs w:val="22"/>
        </w:rPr>
        <w:t>353.492.251,43</w:t>
      </w:r>
      <w:r w:rsidR="007279BB">
        <w:rPr>
          <w:rFonts w:ascii="Arial" w:hAnsi="Arial" w:cs="Arial"/>
          <w:sz w:val="22"/>
          <w:szCs w:val="22"/>
        </w:rPr>
        <w:t xml:space="preserve"> Kč a běžné účty fondů </w:t>
      </w:r>
      <w:r w:rsidR="004D5BB5">
        <w:rPr>
          <w:rFonts w:ascii="Arial" w:hAnsi="Arial" w:cs="Arial"/>
          <w:sz w:val="22"/>
          <w:szCs w:val="22"/>
        </w:rPr>
        <w:t>53.566.484,51</w:t>
      </w:r>
      <w:r w:rsidR="007279BB">
        <w:rPr>
          <w:rFonts w:ascii="Arial" w:hAnsi="Arial" w:cs="Arial"/>
          <w:sz w:val="22"/>
          <w:szCs w:val="22"/>
        </w:rPr>
        <w:t xml:space="preserve"> Kč. Jak bylo naloženo se zůstatkem ZBÚ je zpracováno v přílohách </w:t>
      </w:r>
      <w:r w:rsidR="007279BB" w:rsidRPr="0094608F">
        <w:rPr>
          <w:rFonts w:ascii="Arial" w:hAnsi="Arial" w:cs="Arial"/>
          <w:sz w:val="22"/>
          <w:szCs w:val="22"/>
        </w:rPr>
        <w:t>B</w:t>
      </w:r>
      <w:r w:rsidR="003E14E6">
        <w:rPr>
          <w:rFonts w:ascii="Arial" w:hAnsi="Arial" w:cs="Arial"/>
          <w:sz w:val="22"/>
          <w:szCs w:val="22"/>
        </w:rPr>
        <w:t xml:space="preserve">_01 až B_06 </w:t>
      </w:r>
      <w:r w:rsidR="007279BB">
        <w:rPr>
          <w:rFonts w:ascii="Arial" w:hAnsi="Arial" w:cs="Arial"/>
          <w:sz w:val="22"/>
          <w:szCs w:val="22"/>
        </w:rPr>
        <w:t>a o jeho rozdělení</w:t>
      </w:r>
      <w:r w:rsidR="004D5BB5">
        <w:rPr>
          <w:rFonts w:ascii="Arial" w:hAnsi="Arial" w:cs="Arial"/>
          <w:sz w:val="22"/>
          <w:szCs w:val="22"/>
        </w:rPr>
        <w:t xml:space="preserve"> (finanční vypořádání a rozdělení zůstatku ZBÚ) </w:t>
      </w:r>
      <w:r w:rsidR="007279BB">
        <w:rPr>
          <w:rFonts w:ascii="Arial" w:hAnsi="Arial" w:cs="Arial"/>
          <w:sz w:val="22"/>
          <w:szCs w:val="22"/>
        </w:rPr>
        <w:t>rozhodlo Zastupit</w:t>
      </w:r>
      <w:r w:rsidR="004D5BB5">
        <w:rPr>
          <w:rFonts w:ascii="Arial" w:hAnsi="Arial" w:cs="Arial"/>
          <w:sz w:val="22"/>
          <w:szCs w:val="22"/>
        </w:rPr>
        <w:t>elstvo SMO na svém jednání dne 11</w:t>
      </w:r>
      <w:r w:rsidR="007279BB">
        <w:rPr>
          <w:rFonts w:ascii="Arial" w:hAnsi="Arial" w:cs="Arial"/>
          <w:sz w:val="22"/>
          <w:szCs w:val="22"/>
        </w:rPr>
        <w:t>.</w:t>
      </w:r>
      <w:r w:rsidR="004D5BB5">
        <w:rPr>
          <w:rFonts w:ascii="Arial" w:hAnsi="Arial" w:cs="Arial"/>
          <w:sz w:val="22"/>
          <w:szCs w:val="22"/>
        </w:rPr>
        <w:t> </w:t>
      </w:r>
      <w:r w:rsidR="007279BB">
        <w:rPr>
          <w:rFonts w:ascii="Arial" w:hAnsi="Arial" w:cs="Arial"/>
          <w:sz w:val="22"/>
          <w:szCs w:val="22"/>
        </w:rPr>
        <w:t>0</w:t>
      </w:r>
      <w:r w:rsidR="004D5BB5">
        <w:rPr>
          <w:rFonts w:ascii="Arial" w:hAnsi="Arial" w:cs="Arial"/>
          <w:sz w:val="22"/>
          <w:szCs w:val="22"/>
        </w:rPr>
        <w:t>5</w:t>
      </w:r>
      <w:r w:rsidR="007279BB">
        <w:rPr>
          <w:rFonts w:ascii="Arial" w:hAnsi="Arial" w:cs="Arial"/>
          <w:sz w:val="22"/>
          <w:szCs w:val="22"/>
        </w:rPr>
        <w:t>.</w:t>
      </w:r>
      <w:r w:rsidR="004D5BB5">
        <w:rPr>
          <w:rFonts w:ascii="Arial" w:hAnsi="Arial" w:cs="Arial"/>
          <w:sz w:val="22"/>
          <w:szCs w:val="22"/>
        </w:rPr>
        <w:t xml:space="preserve"> </w:t>
      </w:r>
      <w:r w:rsidR="007279BB">
        <w:rPr>
          <w:rFonts w:ascii="Arial" w:hAnsi="Arial" w:cs="Arial"/>
          <w:sz w:val="22"/>
          <w:szCs w:val="22"/>
        </w:rPr>
        <w:t>2</w:t>
      </w:r>
      <w:r w:rsidR="004D5BB5">
        <w:rPr>
          <w:rFonts w:ascii="Arial" w:hAnsi="Arial" w:cs="Arial"/>
          <w:sz w:val="22"/>
          <w:szCs w:val="22"/>
        </w:rPr>
        <w:t>020</w:t>
      </w:r>
      <w:r w:rsidR="007279BB">
        <w:rPr>
          <w:rFonts w:ascii="Arial" w:hAnsi="Arial" w:cs="Arial"/>
          <w:sz w:val="22"/>
          <w:szCs w:val="22"/>
        </w:rPr>
        <w:t xml:space="preserve"> </w:t>
      </w:r>
      <w:r w:rsidR="004D5BB5" w:rsidRPr="004E5091">
        <w:rPr>
          <w:rFonts w:ascii="Arial" w:hAnsi="Arial" w:cs="Arial"/>
          <w:sz w:val="22"/>
          <w:szCs w:val="22"/>
        </w:rPr>
        <w:t>svým</w:t>
      </w:r>
      <w:r w:rsidR="007279BB" w:rsidRPr="004E5091">
        <w:rPr>
          <w:rFonts w:ascii="Arial" w:hAnsi="Arial" w:cs="Arial"/>
          <w:sz w:val="22"/>
          <w:szCs w:val="22"/>
        </w:rPr>
        <w:t xml:space="preserve"> usnesením č.</w:t>
      </w:r>
      <w:r w:rsidR="004E5091">
        <w:rPr>
          <w:rFonts w:ascii="Arial" w:hAnsi="Arial" w:cs="Arial"/>
          <w:sz w:val="22"/>
          <w:szCs w:val="22"/>
        </w:rPr>
        <w:t xml:space="preserve"> 331/10/ZM/20.</w:t>
      </w:r>
      <w:r w:rsidR="007279BB" w:rsidRPr="004E5091">
        <w:rPr>
          <w:rFonts w:ascii="Arial" w:hAnsi="Arial" w:cs="Arial"/>
          <w:sz w:val="22"/>
          <w:szCs w:val="22"/>
        </w:rPr>
        <w:t xml:space="preserve"> </w:t>
      </w:r>
    </w:p>
    <w:p w:rsidR="007279BB" w:rsidRPr="00682B82" w:rsidRDefault="0009118B" w:rsidP="0072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roku byly závazné ukazatele rozpočtu upravovány na základě rozpočtových opatřeních (282), změn rozpisů rozpočtu (159) a předběžných rozpočtových opatřeních (31). Úpravy proběhly v celkové výši 848.833.228,29 Kč, z toho navyšujících a snižujících rozpočet v rámci Rady SMO bez dotací bylo </w:t>
      </w:r>
      <w:r w:rsidR="005D6F42">
        <w:rPr>
          <w:rFonts w:ascii="Arial" w:hAnsi="Arial" w:cs="Arial"/>
          <w:sz w:val="22"/>
          <w:szCs w:val="22"/>
        </w:rPr>
        <w:t xml:space="preserve">160.784.737,02 Kč, </w:t>
      </w:r>
      <w:r w:rsidR="005D6F42" w:rsidRPr="00682B82">
        <w:rPr>
          <w:rFonts w:ascii="Arial" w:hAnsi="Arial" w:cs="Arial"/>
          <w:sz w:val="22"/>
          <w:szCs w:val="22"/>
        </w:rPr>
        <w:t xml:space="preserve">což představuje </w:t>
      </w:r>
      <w:r w:rsidR="00E97A47" w:rsidRPr="00682B82">
        <w:rPr>
          <w:rFonts w:ascii="Arial" w:hAnsi="Arial" w:cs="Arial"/>
          <w:sz w:val="22"/>
          <w:szCs w:val="22"/>
        </w:rPr>
        <w:t>15,03% schválené částky rozpočtu. V roce 2019 došlo k překročení limitu zvyšujících nebo snižujících rozpočtových opatřeních do úhrnné výše 10% celkové schválené výše rozpočtu (</w:t>
      </w:r>
      <w:proofErr w:type="spellStart"/>
      <w:r w:rsidR="00E97A47" w:rsidRPr="00682B82">
        <w:rPr>
          <w:rFonts w:ascii="Arial" w:hAnsi="Arial" w:cs="Arial"/>
          <w:sz w:val="22"/>
          <w:szCs w:val="22"/>
        </w:rPr>
        <w:t>usn</w:t>
      </w:r>
      <w:proofErr w:type="spellEnd"/>
      <w:r w:rsidR="00E97A47" w:rsidRPr="00682B82">
        <w:rPr>
          <w:rFonts w:ascii="Arial" w:hAnsi="Arial" w:cs="Arial"/>
          <w:sz w:val="22"/>
          <w:szCs w:val="22"/>
        </w:rPr>
        <w:t xml:space="preserve">. 28/2/ZM/18, bod 3., </w:t>
      </w:r>
      <w:proofErr w:type="gramStart"/>
      <w:r w:rsidR="00E97A47" w:rsidRPr="00682B82">
        <w:rPr>
          <w:rFonts w:ascii="Arial" w:hAnsi="Arial" w:cs="Arial"/>
          <w:sz w:val="22"/>
          <w:szCs w:val="22"/>
        </w:rPr>
        <w:t>písm. b)</w:t>
      </w:r>
      <w:r w:rsidR="00842429" w:rsidRPr="00682B82">
        <w:rPr>
          <w:rFonts w:ascii="Arial" w:hAnsi="Arial" w:cs="Arial"/>
          <w:sz w:val="22"/>
          <w:szCs w:val="22"/>
        </w:rPr>
        <w:t>,</w:t>
      </w:r>
      <w:r w:rsidR="00E97A47" w:rsidRPr="00682B82">
        <w:rPr>
          <w:rFonts w:ascii="Arial" w:hAnsi="Arial" w:cs="Arial"/>
          <w:sz w:val="22"/>
          <w:szCs w:val="22"/>
        </w:rPr>
        <w:t xml:space="preserve"> z 17</w:t>
      </w:r>
      <w:proofErr w:type="gramEnd"/>
      <w:r w:rsidR="00E97A47" w:rsidRPr="00682B82">
        <w:rPr>
          <w:rFonts w:ascii="Arial" w:hAnsi="Arial" w:cs="Arial"/>
          <w:sz w:val="22"/>
          <w:szCs w:val="22"/>
        </w:rPr>
        <w:t xml:space="preserve">. 12. 2018). Překročení bylo způsobeno nepředložením rozpočtového opatření na vratku zápůjčky Městského dopravního podniku, a.s. ve výši 132.986.000,00 Kč </w:t>
      </w:r>
      <w:r w:rsidR="00890B5D">
        <w:rPr>
          <w:rFonts w:ascii="Arial" w:hAnsi="Arial" w:cs="Arial"/>
          <w:sz w:val="22"/>
          <w:szCs w:val="22"/>
        </w:rPr>
        <w:t>na jednání ZMO</w:t>
      </w:r>
      <w:r w:rsidR="00E97A47" w:rsidRPr="00682B82">
        <w:rPr>
          <w:rFonts w:ascii="Arial" w:hAnsi="Arial" w:cs="Arial"/>
          <w:sz w:val="22"/>
          <w:szCs w:val="22"/>
        </w:rPr>
        <w:t>. Toto rozpočtové opatření schválila rada na svém zasedání dne 17. 04. 2019, číslo rozpočtového opatření je 2019/53. Tato vratka zápůjčky byla použi</w:t>
      </w:r>
      <w:r w:rsidR="00890B5D">
        <w:rPr>
          <w:rFonts w:ascii="Arial" w:hAnsi="Arial" w:cs="Arial"/>
          <w:sz w:val="22"/>
          <w:szCs w:val="22"/>
        </w:rPr>
        <w:t xml:space="preserve">ta v plné výši na splátku úvěru – dle podmínek Smlouvy o úvěru mezi SMO a KB a.s. z roku 2017 a následných dodatků. </w:t>
      </w:r>
      <w:r w:rsidR="00682B82">
        <w:rPr>
          <w:rFonts w:ascii="Arial" w:hAnsi="Arial" w:cs="Arial"/>
          <w:sz w:val="22"/>
          <w:szCs w:val="22"/>
        </w:rPr>
        <w:t>Rozpočtové opatření ovlivnilo výši příjmů, ale neovlivnilo výši výdajů. Sice došlo ze strany úřadu k pochybení, ale schválení v zastupitelstvu by bylo formální.</w:t>
      </w:r>
    </w:p>
    <w:p w:rsidR="00E97A47" w:rsidRDefault="00E97A47" w:rsidP="007279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740"/>
        <w:gridCol w:w="1660"/>
        <w:gridCol w:w="1530"/>
        <w:gridCol w:w="1787"/>
      </w:tblGrid>
      <w:tr w:rsidR="0009118B" w:rsidRPr="0009118B" w:rsidTr="0009118B">
        <w:trPr>
          <w:trHeight w:val="342"/>
        </w:trPr>
        <w:tc>
          <w:tcPr>
            <w:tcW w:w="92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REKAPITULACE SCHVÁLENÝCH ROZPOČTOVÝCH OPATŘENÍ k 31.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118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12.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118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09118B" w:rsidRPr="0009118B" w:rsidTr="0009118B">
        <w:trPr>
          <w:trHeight w:val="458"/>
        </w:trPr>
        <w:tc>
          <w:tcPr>
            <w:tcW w:w="92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úpravy RMO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úpravy ZMO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upravený rozpočet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908 093 400,00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-5 770 600,00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902 322 800,00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2xxx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118 023 800,00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143 331 347,93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261 355 147,93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3xxx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12 070 000,00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43 249,00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12 113 249,00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4xxx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65 124 000,00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109 442 455,18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174 566 455,18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1 103 311 200,00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252 817 052,11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-5 770 600,00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1 350 357 652,11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úpravy RMO a ZMO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5xxx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974 324 800,00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179 209 690,80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1 153 534 490,80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6xxx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95 466 400,00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501 711 736,73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597 178 136,73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1 069 791 200,00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680 921 427,53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1 750 712 627,53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financování*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8115 - příjem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5 130 200,00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10 383 291,52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402 466 274,37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417 979 765,89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8115 - výdaj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-8 650 200,00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-140 467,00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-8 790 667,00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8115 -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-3 520 000,00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10 383 291,52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402 325 807,37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409 189 098,89</w:t>
            </w:r>
          </w:p>
        </w:tc>
      </w:tr>
      <w:tr w:rsidR="0009118B" w:rsidRPr="0009118B" w:rsidTr="00842429">
        <w:trPr>
          <w:trHeight w:val="135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CC33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CC33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CC3300"/>
                <w:sz w:val="16"/>
                <w:szCs w:val="16"/>
              </w:rPr>
            </w:pPr>
            <w:r w:rsidRPr="0009118B">
              <w:rPr>
                <w:rFonts w:ascii="Calibri" w:hAnsi="Calibri" w:cs="Calibri"/>
                <w:color w:val="CC33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CC3300"/>
                <w:sz w:val="16"/>
                <w:szCs w:val="16"/>
              </w:rPr>
            </w:pPr>
            <w:r w:rsidRPr="0009118B">
              <w:rPr>
                <w:rFonts w:ascii="Calibri" w:hAnsi="Calibri" w:cs="Calibri"/>
                <w:color w:val="CC33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jc w:val="center"/>
              <w:rPr>
                <w:rFonts w:ascii="Calibri" w:hAnsi="Calibri" w:cs="Calibri"/>
                <w:color w:val="CC3300"/>
                <w:sz w:val="16"/>
                <w:szCs w:val="16"/>
              </w:rPr>
            </w:pPr>
            <w:r w:rsidRPr="0009118B">
              <w:rPr>
                <w:rFonts w:ascii="Calibri" w:hAnsi="Calibri" w:cs="Calibri"/>
                <w:color w:val="CC3300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CC33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CC33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8123 - příjem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7 026 848,57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181 910 361,72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188 937 210,29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8123 - výdaj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8123 -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7 026 848,57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181 910 361,72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188 937 210,29</w:t>
            </w:r>
          </w:p>
        </w:tc>
      </w:tr>
      <w:tr w:rsidR="0009118B" w:rsidRPr="0009118B" w:rsidTr="00842429">
        <w:trPr>
          <w:trHeight w:val="135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8124 - příjem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8124 - výdaj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-30 000 000,00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-167 771 333,76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-197 771 333,76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8124 -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-167 771 333,76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-197 771 333,76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-33 520 000,00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-150 361 193,67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584 236 169,09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400 354 975,42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6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příjmy + financování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1 069 791 200,00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118B">
              <w:rPr>
                <w:rFonts w:ascii="Calibri" w:hAnsi="Calibri" w:cs="Calibri"/>
                <w:sz w:val="22"/>
                <w:szCs w:val="22"/>
              </w:rPr>
              <w:t>102 455 858,44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118B">
              <w:rPr>
                <w:rFonts w:ascii="Calibri" w:hAnsi="Calibri" w:cs="Calibri"/>
                <w:sz w:val="22"/>
                <w:szCs w:val="22"/>
              </w:rPr>
              <w:t>578 465 569,09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sz w:val="22"/>
                <w:szCs w:val="22"/>
              </w:rPr>
              <w:t>1 750 712 627,53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RO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270 227 192,20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578 606 036,09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0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RO celkem RMO+ZMO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848 833 228,29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18B" w:rsidRPr="0009118B" w:rsidTr="00842429">
        <w:trPr>
          <w:trHeight w:val="315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RO RMO celkem bez dotací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jc w:val="right"/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160 784 737,02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8B" w:rsidRPr="0009118B" w:rsidRDefault="0009118B" w:rsidP="000911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11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F4106" w:rsidRDefault="00D86C62">
      <w:pPr>
        <w:rPr>
          <w:rFonts w:ascii="Arial" w:hAnsi="Arial" w:cs="Arial"/>
          <w:sz w:val="22"/>
        </w:rPr>
      </w:pPr>
      <w:r w:rsidRPr="00D86C62">
        <w:rPr>
          <w:rFonts w:ascii="Arial" w:hAnsi="Arial" w:cs="Arial"/>
          <w:sz w:val="22"/>
        </w:rPr>
        <w:t xml:space="preserve">(podrobně </w:t>
      </w:r>
      <w:r>
        <w:rPr>
          <w:rFonts w:ascii="Arial" w:hAnsi="Arial" w:cs="Arial"/>
          <w:sz w:val="22"/>
        </w:rPr>
        <w:t xml:space="preserve">přílohy: </w:t>
      </w:r>
      <w:hyperlink r:id="rId11" w:history="1">
        <w:r w:rsidRPr="00DC1C0B">
          <w:rPr>
            <w:rStyle w:val="Hypertextovodkaz"/>
            <w:rFonts w:ascii="Arial" w:hAnsi="Arial" w:cs="Arial"/>
            <w:sz w:val="22"/>
          </w:rPr>
          <w:t>A_36</w:t>
        </w:r>
      </w:hyperlink>
      <w:r>
        <w:rPr>
          <w:rFonts w:ascii="Arial" w:hAnsi="Arial" w:cs="Arial"/>
          <w:sz w:val="22"/>
        </w:rPr>
        <w:t xml:space="preserve">;  </w:t>
      </w:r>
      <w:hyperlink r:id="rId12" w:history="1">
        <w:r w:rsidRPr="00DC1C0B">
          <w:rPr>
            <w:rStyle w:val="Hypertextovodkaz"/>
            <w:rFonts w:ascii="Arial" w:hAnsi="Arial" w:cs="Arial"/>
            <w:sz w:val="22"/>
          </w:rPr>
          <w:t>A_37</w:t>
        </w:r>
      </w:hyperlink>
      <w:r>
        <w:rPr>
          <w:rFonts w:ascii="Arial" w:hAnsi="Arial" w:cs="Arial"/>
          <w:sz w:val="22"/>
        </w:rPr>
        <w:t xml:space="preserve">;  </w:t>
      </w:r>
      <w:hyperlink r:id="rId13" w:history="1">
        <w:r w:rsidRPr="00067D73">
          <w:rPr>
            <w:rStyle w:val="Hypertextovodkaz"/>
            <w:rFonts w:ascii="Arial" w:hAnsi="Arial" w:cs="Arial"/>
            <w:sz w:val="22"/>
          </w:rPr>
          <w:t>A_38</w:t>
        </w:r>
      </w:hyperlink>
      <w:r>
        <w:rPr>
          <w:rFonts w:ascii="Arial" w:hAnsi="Arial" w:cs="Arial"/>
          <w:sz w:val="22"/>
        </w:rPr>
        <w:t>)</w:t>
      </w:r>
    </w:p>
    <w:p w:rsidR="00CF6D03" w:rsidRDefault="00CF6D03">
      <w:pPr>
        <w:rPr>
          <w:rFonts w:ascii="Arial" w:hAnsi="Arial" w:cs="Arial"/>
          <w:sz w:val="22"/>
        </w:rPr>
      </w:pPr>
    </w:p>
    <w:p w:rsidR="000F31C1" w:rsidRPr="00093E50" w:rsidRDefault="000F31C1" w:rsidP="000F31C1">
      <w:pPr>
        <w:jc w:val="both"/>
        <w:outlineLvl w:val="1"/>
        <w:rPr>
          <w:rFonts w:ascii="Arial" w:hAnsi="Arial" w:cs="Arial"/>
          <w:b/>
          <w:i/>
          <w:sz w:val="28"/>
          <w:szCs w:val="28"/>
        </w:rPr>
      </w:pPr>
      <w:bookmarkStart w:id="1" w:name="_Toc513714448"/>
      <w:r w:rsidRPr="00093E50">
        <w:rPr>
          <w:rFonts w:ascii="Arial" w:hAnsi="Arial" w:cs="Arial"/>
          <w:b/>
          <w:i/>
          <w:sz w:val="28"/>
          <w:szCs w:val="28"/>
        </w:rPr>
        <w:t>1.1 VÝSLEDEK ROZPOČTOVÉHO HOSPODAŘENÍ</w:t>
      </w:r>
      <w:bookmarkEnd w:id="1"/>
    </w:p>
    <w:p w:rsidR="000F31C1" w:rsidRDefault="000F31C1" w:rsidP="000F31C1">
      <w:pPr>
        <w:jc w:val="both"/>
        <w:rPr>
          <w:rFonts w:ascii="Arial" w:hAnsi="Arial" w:cs="Arial"/>
          <w:sz w:val="22"/>
          <w:szCs w:val="22"/>
        </w:rPr>
      </w:pPr>
    </w:p>
    <w:p w:rsidR="000F31C1" w:rsidRDefault="000F31C1" w:rsidP="000F31C1">
      <w:pPr>
        <w:jc w:val="both"/>
        <w:rPr>
          <w:rFonts w:ascii="Arial" w:hAnsi="Arial" w:cs="Arial"/>
          <w:sz w:val="22"/>
          <w:szCs w:val="22"/>
        </w:rPr>
      </w:pPr>
      <w:r w:rsidRPr="009D24A6">
        <w:rPr>
          <w:rFonts w:ascii="Arial" w:hAnsi="Arial" w:cs="Arial"/>
          <w:sz w:val="22"/>
          <w:szCs w:val="22"/>
        </w:rPr>
        <w:t xml:space="preserve">Příjmy a výdaje v členění dle rozpočtové skladby v Kč </w:t>
      </w:r>
      <w:r w:rsidRPr="003F67D2">
        <w:rPr>
          <w:rFonts w:ascii="Arial" w:hAnsi="Arial" w:cs="Arial"/>
          <w:sz w:val="22"/>
          <w:szCs w:val="22"/>
        </w:rPr>
        <w:t>bez konsolidací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96"/>
        <w:gridCol w:w="1960"/>
        <w:gridCol w:w="1960"/>
        <w:gridCol w:w="1960"/>
        <w:gridCol w:w="960"/>
      </w:tblGrid>
      <w:tr w:rsidR="00022B10" w:rsidRPr="00022B10" w:rsidTr="00FE5FCB">
        <w:trPr>
          <w:trHeight w:val="54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10" w:rsidRPr="00022B10" w:rsidRDefault="00022B10" w:rsidP="00022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schválený RS 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10" w:rsidRPr="00022B10" w:rsidRDefault="00022B10" w:rsidP="00022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upravený RU 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10" w:rsidRPr="00022B10" w:rsidRDefault="00022B10" w:rsidP="00022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10" w:rsidRPr="00022B10" w:rsidRDefault="00022B10" w:rsidP="00022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RU</w:t>
            </w:r>
            <w:proofErr w:type="gramEnd"/>
            <w:r w:rsidRPr="00022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1 103 311 200,00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1 350 357 652,11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1 524 140 407,03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112,87%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 xml:space="preserve">z toho: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908 093 400,00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902 322 800,00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1 063 035 923,06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117,81%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118 023 800,00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261 355 147,93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271 811 022,09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104,00%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12 070 000,00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12 113 249,00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14 773 504,70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121,96%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přijaté dotace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65 124 000,00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174 566 455,18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174 519 957,18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1 069 791 200,00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1 750 712 627,53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1 381 291 549,75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78,90%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 xml:space="preserve">z toho: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běžné výdaje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974 324 800,00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1 153 534 490,80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1 052 336 462,84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91,23%</w:t>
            </w:r>
          </w:p>
        </w:tc>
      </w:tr>
      <w:tr w:rsidR="00022B10" w:rsidRPr="00022B10" w:rsidTr="00FE5FCB">
        <w:trPr>
          <w:trHeight w:val="2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kapitálové výdaje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95 466 400,00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597 178 136,73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328 955 086,91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55,08%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FINANCOVÁNÍ CELKEM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-33 520 000,00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400 354 975,42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-142 848 857,28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 xml:space="preserve">z toho: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změna stavu  ZBÚ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-3 520 000,00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409 189 098,89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-75 012 336,08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řízení likvidity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přijaté prostředky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188 937 210,29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129 934 812,56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FE5FCB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 xml:space="preserve">splátky půjčených </w:t>
            </w:r>
            <w:proofErr w:type="spellStart"/>
            <w:r w:rsidRPr="00022B10">
              <w:rPr>
                <w:rFonts w:ascii="Arial" w:hAnsi="Arial" w:cs="Arial"/>
                <w:sz w:val="20"/>
                <w:szCs w:val="20"/>
              </w:rPr>
              <w:t>prostř</w:t>
            </w:r>
            <w:proofErr w:type="spellEnd"/>
            <w:r w:rsidRPr="00022B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-30 000 000,00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-197 771 333,76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B10">
              <w:rPr>
                <w:rFonts w:ascii="Arial" w:hAnsi="Arial" w:cs="Arial"/>
                <w:sz w:val="20"/>
                <w:szCs w:val="20"/>
              </w:rPr>
              <w:t>-197 771 333,76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2B10" w:rsidRPr="00022B10" w:rsidTr="00017C52">
        <w:trPr>
          <w:trHeight w:val="260"/>
        </w:trPr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SALDO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10" w:rsidRPr="00022B10" w:rsidRDefault="00022B10" w:rsidP="00022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B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17C52" w:rsidRDefault="00017C52">
      <w:pPr>
        <w:rPr>
          <w:rFonts w:ascii="Arial" w:hAnsi="Arial" w:cs="Arial"/>
          <w:sz w:val="22"/>
        </w:rPr>
      </w:pPr>
    </w:p>
    <w:p w:rsidR="00CF6D03" w:rsidRDefault="00FE5FCB">
      <w:pPr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72CDF49B" wp14:editId="0F23EB55">
            <wp:extent cx="6102350" cy="2551430"/>
            <wp:effectExtent l="0" t="0" r="12700" b="127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5FCB" w:rsidRDefault="00FE5FCB">
      <w:pPr>
        <w:rPr>
          <w:rFonts w:ascii="Arial" w:hAnsi="Arial" w:cs="Arial"/>
          <w:sz w:val="22"/>
        </w:rPr>
      </w:pPr>
    </w:p>
    <w:p w:rsidR="00D50A02" w:rsidRDefault="00D50A02">
      <w:pPr>
        <w:rPr>
          <w:rFonts w:ascii="Arial" w:hAnsi="Arial" w:cs="Arial"/>
          <w:sz w:val="22"/>
        </w:rPr>
      </w:pPr>
    </w:p>
    <w:p w:rsidR="00FE5FCB" w:rsidRDefault="00FE5FCB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7118B6E5" wp14:editId="7FBDC3ED">
            <wp:extent cx="6102350" cy="2543810"/>
            <wp:effectExtent l="0" t="0" r="12700" b="889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7650" w:rsidRDefault="00C17650">
      <w:pPr>
        <w:rPr>
          <w:rFonts w:ascii="Arial" w:hAnsi="Arial" w:cs="Arial"/>
          <w:sz w:val="22"/>
        </w:rPr>
      </w:pPr>
    </w:p>
    <w:p w:rsidR="00D50A02" w:rsidRDefault="00D50A02">
      <w:pPr>
        <w:rPr>
          <w:rFonts w:ascii="Arial" w:hAnsi="Arial" w:cs="Arial"/>
          <w:sz w:val="22"/>
        </w:rPr>
      </w:pPr>
    </w:p>
    <w:p w:rsidR="00C17650" w:rsidRDefault="00C17650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3096FA6F" wp14:editId="25E5CF4F">
            <wp:extent cx="6102350" cy="2553970"/>
            <wp:effectExtent l="0" t="0" r="12700" b="1778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0A16" w:rsidRDefault="00DF0A16" w:rsidP="00B12CC3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  <w:bookmarkStart w:id="2" w:name="_Toc513714449"/>
    </w:p>
    <w:p w:rsidR="00DF0A16" w:rsidRDefault="00DF0A16" w:rsidP="00B12CC3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</w:p>
    <w:p w:rsidR="00B12CC3" w:rsidRDefault="00B12CC3" w:rsidP="00B12CC3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1</w:t>
      </w:r>
      <w:r w:rsidRPr="00CA643F">
        <w:rPr>
          <w:rFonts w:ascii="Arial" w:hAnsi="Arial" w:cs="Arial"/>
          <w:b/>
          <w:i/>
          <w:sz w:val="28"/>
          <w:szCs w:val="28"/>
        </w:rPr>
        <w:t>.1.1 PLNĚNÍ ROZPOČTU PŘÍJMŮ</w:t>
      </w:r>
      <w:bookmarkEnd w:id="2"/>
    </w:p>
    <w:p w:rsidR="00B12CC3" w:rsidRDefault="00B12CC3" w:rsidP="00B12C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Příjmy města Opavy byly rozpočtovány v roce 2019 ve schváleném rozpočtu ve výši 1.103.311.200,00 Kč</w:t>
      </w:r>
      <w:r w:rsidRPr="00F9356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Schválený rozpočet obsahoval v dotacích pouze souhrnný dotační vztah (tzv. dotac</w:t>
      </w:r>
      <w:r w:rsidR="00E7774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přenesenou působnost</w:t>
      </w:r>
      <w:r w:rsidR="0041086A">
        <w:rPr>
          <w:rFonts w:ascii="Arial" w:hAnsi="Arial" w:cs="Arial"/>
          <w:sz w:val="22"/>
          <w:szCs w:val="22"/>
        </w:rPr>
        <w:t>, dále SDV</w:t>
      </w:r>
      <w:r>
        <w:rPr>
          <w:rFonts w:ascii="Arial" w:hAnsi="Arial" w:cs="Arial"/>
          <w:sz w:val="22"/>
          <w:szCs w:val="22"/>
        </w:rPr>
        <w:t xml:space="preserve">) ve výši 65.124.000,00 Kč. </w:t>
      </w:r>
      <w:r w:rsidR="00153699">
        <w:rPr>
          <w:rFonts w:ascii="Arial" w:hAnsi="Arial" w:cs="Arial"/>
          <w:sz w:val="22"/>
          <w:szCs w:val="22"/>
        </w:rPr>
        <w:t>Upravený rozpoč</w:t>
      </w:r>
      <w:r w:rsidR="0041086A">
        <w:rPr>
          <w:rFonts w:ascii="Arial" w:hAnsi="Arial" w:cs="Arial"/>
          <w:sz w:val="22"/>
          <w:szCs w:val="22"/>
        </w:rPr>
        <w:t>e</w:t>
      </w:r>
      <w:r w:rsidR="00153699">
        <w:rPr>
          <w:rFonts w:ascii="Arial" w:hAnsi="Arial" w:cs="Arial"/>
          <w:sz w:val="22"/>
          <w:szCs w:val="22"/>
        </w:rPr>
        <w:t>t k 31. 12. </w:t>
      </w:r>
      <w:r>
        <w:rPr>
          <w:rFonts w:ascii="Arial" w:hAnsi="Arial" w:cs="Arial"/>
          <w:sz w:val="22"/>
          <w:szCs w:val="22"/>
        </w:rPr>
        <w:t>2019 počítal s celkovými příjmy 1.350.357</w:t>
      </w:r>
      <w:r w:rsidR="0041086A">
        <w:rPr>
          <w:rFonts w:ascii="Arial" w:hAnsi="Arial" w:cs="Arial"/>
          <w:sz w:val="22"/>
          <w:szCs w:val="22"/>
        </w:rPr>
        <w:t>.652,11 Kč, přičemž dotace byly p</w:t>
      </w:r>
      <w:r>
        <w:rPr>
          <w:rFonts w:ascii="Arial" w:hAnsi="Arial" w:cs="Arial"/>
          <w:sz w:val="22"/>
          <w:szCs w:val="22"/>
        </w:rPr>
        <w:t>lánované ve výši 174.566.455,18 Kč</w:t>
      </w:r>
      <w:r w:rsidR="0041086A">
        <w:rPr>
          <w:rFonts w:ascii="Arial" w:hAnsi="Arial" w:cs="Arial"/>
          <w:sz w:val="22"/>
          <w:szCs w:val="22"/>
        </w:rPr>
        <w:t xml:space="preserve"> (v tom SDV 68.104.500,00 Kč)</w:t>
      </w:r>
      <w:r>
        <w:rPr>
          <w:rFonts w:ascii="Arial" w:hAnsi="Arial" w:cs="Arial"/>
          <w:sz w:val="22"/>
          <w:szCs w:val="22"/>
        </w:rPr>
        <w:t xml:space="preserve">. </w:t>
      </w:r>
      <w:r w:rsidR="00D75796">
        <w:rPr>
          <w:rFonts w:ascii="Arial" w:hAnsi="Arial" w:cs="Arial"/>
          <w:sz w:val="22"/>
          <w:szCs w:val="22"/>
        </w:rPr>
        <w:t>Příjmy byly naplněny do </w:t>
      </w:r>
      <w:r w:rsidR="00153699">
        <w:rPr>
          <w:rFonts w:ascii="Arial" w:hAnsi="Arial" w:cs="Arial"/>
          <w:sz w:val="22"/>
          <w:szCs w:val="22"/>
        </w:rPr>
        <w:t xml:space="preserve">objemu </w:t>
      </w:r>
      <w:r>
        <w:rPr>
          <w:rFonts w:ascii="Arial" w:hAnsi="Arial" w:cs="Arial"/>
          <w:sz w:val="22"/>
          <w:szCs w:val="22"/>
        </w:rPr>
        <w:t xml:space="preserve">1.524.140.407,03 Kč (z toho dotace 174.519.957,18 Kč včetně </w:t>
      </w:r>
      <w:r w:rsidR="005C3E52">
        <w:rPr>
          <w:rFonts w:ascii="Arial" w:hAnsi="Arial" w:cs="Arial"/>
          <w:sz w:val="22"/>
          <w:szCs w:val="22"/>
        </w:rPr>
        <w:t>SDV</w:t>
      </w:r>
      <w:r>
        <w:rPr>
          <w:rFonts w:ascii="Arial" w:hAnsi="Arial" w:cs="Arial"/>
          <w:sz w:val="22"/>
          <w:szCs w:val="22"/>
        </w:rPr>
        <w:t xml:space="preserve">). Podrobné plnění příjmů dle položek obsahuje příloha  </w:t>
      </w:r>
      <w:hyperlink r:id="rId17" w:history="1">
        <w:r w:rsidRPr="005D7802">
          <w:rPr>
            <w:rStyle w:val="Hypertextovodkaz"/>
            <w:rFonts w:ascii="Arial" w:hAnsi="Arial" w:cs="Arial"/>
            <w:sz w:val="22"/>
            <w:szCs w:val="22"/>
          </w:rPr>
          <w:t>A_09_plnění příjmů rozpočtu dle POL</w:t>
        </w:r>
      </w:hyperlink>
      <w:r w:rsidRPr="0041137A">
        <w:rPr>
          <w:rFonts w:ascii="Arial" w:hAnsi="Arial" w:cs="Arial"/>
          <w:sz w:val="22"/>
          <w:szCs w:val="22"/>
        </w:rPr>
        <w:t>.</w:t>
      </w:r>
    </w:p>
    <w:p w:rsidR="0010225D" w:rsidRDefault="0010225D" w:rsidP="00B12CC3">
      <w:pPr>
        <w:jc w:val="both"/>
        <w:rPr>
          <w:rFonts w:ascii="Arial" w:hAnsi="Arial" w:cs="Arial"/>
          <w:sz w:val="22"/>
          <w:szCs w:val="22"/>
        </w:rPr>
      </w:pPr>
    </w:p>
    <w:p w:rsidR="00797EF5" w:rsidRDefault="00797EF5" w:rsidP="00B12CC3">
      <w:pPr>
        <w:jc w:val="both"/>
        <w:rPr>
          <w:rFonts w:ascii="Arial" w:hAnsi="Arial" w:cs="Arial"/>
          <w:sz w:val="22"/>
          <w:szCs w:val="22"/>
        </w:rPr>
      </w:pPr>
    </w:p>
    <w:p w:rsidR="00BA12E3" w:rsidRPr="00CA643F" w:rsidRDefault="00BA12E3" w:rsidP="00BA12E3">
      <w:pPr>
        <w:jc w:val="both"/>
        <w:outlineLvl w:val="3"/>
        <w:rPr>
          <w:rFonts w:ascii="Arial" w:hAnsi="Arial" w:cs="Arial"/>
          <w:b/>
          <w:i/>
        </w:rPr>
      </w:pPr>
      <w:bookmarkStart w:id="3" w:name="_Toc513714450"/>
      <w:r>
        <w:rPr>
          <w:rFonts w:ascii="Arial" w:hAnsi="Arial" w:cs="Arial"/>
          <w:b/>
          <w:i/>
        </w:rPr>
        <w:t>1</w:t>
      </w:r>
      <w:r w:rsidRPr="00CA643F">
        <w:rPr>
          <w:rFonts w:ascii="Arial" w:hAnsi="Arial" w:cs="Arial"/>
          <w:b/>
          <w:i/>
        </w:rPr>
        <w:t>.1.1.</w:t>
      </w:r>
      <w:r>
        <w:rPr>
          <w:rFonts w:ascii="Arial" w:hAnsi="Arial" w:cs="Arial"/>
          <w:b/>
          <w:i/>
        </w:rPr>
        <w:t>1</w:t>
      </w:r>
      <w:r w:rsidRPr="00CA643F">
        <w:rPr>
          <w:rFonts w:ascii="Arial" w:hAnsi="Arial" w:cs="Arial"/>
          <w:b/>
          <w:i/>
        </w:rPr>
        <w:t xml:space="preserve"> Daňové příjmy</w:t>
      </w:r>
      <w:bookmarkEnd w:id="3"/>
    </w:p>
    <w:p w:rsidR="00BA12E3" w:rsidRPr="001D193D" w:rsidRDefault="00BA12E3" w:rsidP="00BA12E3">
      <w:pPr>
        <w:jc w:val="both"/>
        <w:rPr>
          <w:rFonts w:ascii="Arial" w:hAnsi="Arial" w:cs="Arial"/>
          <w:sz w:val="22"/>
          <w:szCs w:val="22"/>
        </w:rPr>
      </w:pPr>
      <w:r w:rsidRPr="001D193D">
        <w:rPr>
          <w:rFonts w:ascii="Arial" w:hAnsi="Arial" w:cs="Arial"/>
          <w:sz w:val="22"/>
          <w:szCs w:val="22"/>
        </w:rPr>
        <w:t>Mezi daňové</w:t>
      </w:r>
      <w:r>
        <w:rPr>
          <w:rFonts w:ascii="Arial" w:hAnsi="Arial" w:cs="Arial"/>
          <w:sz w:val="22"/>
          <w:szCs w:val="22"/>
        </w:rPr>
        <w:t xml:space="preserve"> </w:t>
      </w:r>
      <w:r w:rsidRPr="001D193D">
        <w:rPr>
          <w:rFonts w:ascii="Arial" w:hAnsi="Arial" w:cs="Arial"/>
          <w:sz w:val="22"/>
          <w:szCs w:val="22"/>
        </w:rPr>
        <w:t>příjmy</w:t>
      </w:r>
      <w:r>
        <w:rPr>
          <w:rFonts w:ascii="Arial" w:hAnsi="Arial" w:cs="Arial"/>
          <w:sz w:val="22"/>
          <w:szCs w:val="22"/>
        </w:rPr>
        <w:t xml:space="preserve"> Statutárního města Opavy</w:t>
      </w:r>
      <w:r w:rsidRPr="001D193D">
        <w:rPr>
          <w:rFonts w:ascii="Arial" w:hAnsi="Arial" w:cs="Arial"/>
          <w:sz w:val="22"/>
          <w:szCs w:val="22"/>
        </w:rPr>
        <w:t xml:space="preserve"> patří především příjmy ze sdílených daní dle zákona č. </w:t>
      </w:r>
      <w:r>
        <w:rPr>
          <w:rFonts w:ascii="Arial" w:hAnsi="Arial" w:cs="Arial"/>
          <w:sz w:val="22"/>
          <w:szCs w:val="22"/>
        </w:rPr>
        <w:t xml:space="preserve">243/2000 Sb., </w:t>
      </w:r>
      <w:r w:rsidRPr="001D193D">
        <w:rPr>
          <w:rFonts w:ascii="Arial" w:hAnsi="Arial" w:cs="Arial"/>
          <w:sz w:val="22"/>
          <w:szCs w:val="22"/>
        </w:rPr>
        <w:t xml:space="preserve">o rozpočtovém určení </w:t>
      </w:r>
      <w:r>
        <w:rPr>
          <w:rFonts w:ascii="Arial" w:hAnsi="Arial" w:cs="Arial"/>
          <w:sz w:val="22"/>
          <w:szCs w:val="22"/>
        </w:rPr>
        <w:t>výnosů některých daní územním samosprávným celkům a některým státním fondům (zákon o rozpočtovém určení daní). Jedná se o příjmy z daní fyzických osob ze závislé činnosti i OSVČ, daně z kapitálových příjmů, daně z příjmů právnických osob a daň z přidané hodnoty. D</w:t>
      </w:r>
      <w:r w:rsidRPr="001D193D">
        <w:rPr>
          <w:rFonts w:ascii="Arial" w:hAnsi="Arial" w:cs="Arial"/>
          <w:sz w:val="22"/>
          <w:szCs w:val="22"/>
        </w:rPr>
        <w:t xml:space="preserve">aň z příjmu právnických osob za obce, která je </w:t>
      </w:r>
      <w:r>
        <w:rPr>
          <w:rFonts w:ascii="Arial" w:hAnsi="Arial" w:cs="Arial"/>
          <w:sz w:val="22"/>
          <w:szCs w:val="22"/>
        </w:rPr>
        <w:t xml:space="preserve">sice 100% příjmem obce, je ale </w:t>
      </w:r>
      <w:r w:rsidRPr="001D193D">
        <w:rPr>
          <w:rFonts w:ascii="Arial" w:hAnsi="Arial" w:cs="Arial"/>
          <w:sz w:val="22"/>
          <w:szCs w:val="22"/>
        </w:rPr>
        <w:t xml:space="preserve">současně </w:t>
      </w:r>
      <w:r>
        <w:rPr>
          <w:rFonts w:ascii="Arial" w:hAnsi="Arial" w:cs="Arial"/>
          <w:sz w:val="22"/>
          <w:szCs w:val="22"/>
        </w:rPr>
        <w:t xml:space="preserve">ve stejné výši </w:t>
      </w:r>
      <w:r w:rsidRPr="001D193D">
        <w:rPr>
          <w:rFonts w:ascii="Arial" w:hAnsi="Arial" w:cs="Arial"/>
          <w:sz w:val="22"/>
          <w:szCs w:val="22"/>
        </w:rPr>
        <w:t>na straně výdajů (tato záležitost je vyřešena pouze převodem mezi vlastními účty)</w:t>
      </w:r>
      <w:r>
        <w:rPr>
          <w:rFonts w:ascii="Arial" w:hAnsi="Arial" w:cs="Arial"/>
          <w:sz w:val="22"/>
          <w:szCs w:val="22"/>
        </w:rPr>
        <w:t xml:space="preserve">. </w:t>
      </w:r>
      <w:r w:rsidR="009219CB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ediná z</w:t>
      </w:r>
      <w:r w:rsidR="009219CB">
        <w:rPr>
          <w:rFonts w:ascii="Arial" w:hAnsi="Arial" w:cs="Arial"/>
          <w:sz w:val="22"/>
          <w:szCs w:val="22"/>
        </w:rPr>
        <w:t> </w:t>
      </w:r>
      <w:r w:rsidRPr="001D193D">
        <w:rPr>
          <w:rFonts w:ascii="Arial" w:hAnsi="Arial" w:cs="Arial"/>
          <w:sz w:val="22"/>
          <w:szCs w:val="22"/>
        </w:rPr>
        <w:t>daní</w:t>
      </w:r>
      <w:r w:rsidR="009219CB">
        <w:rPr>
          <w:rFonts w:ascii="Arial" w:hAnsi="Arial" w:cs="Arial"/>
          <w:sz w:val="22"/>
          <w:szCs w:val="22"/>
        </w:rPr>
        <w:t>, která zůstává v 1</w:t>
      </w:r>
      <w:r w:rsidRPr="001D193D">
        <w:rPr>
          <w:rFonts w:ascii="Arial" w:hAnsi="Arial" w:cs="Arial"/>
          <w:sz w:val="22"/>
          <w:szCs w:val="22"/>
        </w:rPr>
        <w:t>00% výši obci</w:t>
      </w:r>
      <w:r w:rsidR="008A6B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</w:t>
      </w:r>
      <w:r w:rsidRPr="001D193D">
        <w:rPr>
          <w:rFonts w:ascii="Arial" w:hAnsi="Arial" w:cs="Arial"/>
          <w:sz w:val="22"/>
          <w:szCs w:val="22"/>
        </w:rPr>
        <w:t>daň z</w:t>
      </w:r>
      <w:r>
        <w:rPr>
          <w:rFonts w:ascii="Arial" w:hAnsi="Arial" w:cs="Arial"/>
          <w:sz w:val="22"/>
          <w:szCs w:val="22"/>
        </w:rPr>
        <w:t> </w:t>
      </w:r>
      <w:r w:rsidRPr="001D193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emovitosti. Plnění</w:t>
      </w:r>
      <w:r w:rsidR="00831226">
        <w:rPr>
          <w:rFonts w:ascii="Arial" w:hAnsi="Arial" w:cs="Arial"/>
          <w:sz w:val="22"/>
          <w:szCs w:val="22"/>
        </w:rPr>
        <w:t xml:space="preserve"> těchto typů daňových příjmů je </w:t>
      </w:r>
      <w:r>
        <w:rPr>
          <w:rFonts w:ascii="Arial" w:hAnsi="Arial" w:cs="Arial"/>
          <w:sz w:val="22"/>
          <w:szCs w:val="22"/>
        </w:rPr>
        <w:t>v následující tabulce.</w:t>
      </w:r>
    </w:p>
    <w:p w:rsidR="0010225D" w:rsidRDefault="0010225D" w:rsidP="00B12CC3">
      <w:pPr>
        <w:jc w:val="both"/>
        <w:rPr>
          <w:rFonts w:ascii="Arial" w:hAnsi="Arial" w:cs="Arial"/>
          <w:sz w:val="22"/>
          <w:szCs w:val="22"/>
        </w:rPr>
      </w:pPr>
    </w:p>
    <w:p w:rsidR="00797EF5" w:rsidRDefault="00797EF5" w:rsidP="00B12CC3">
      <w:pPr>
        <w:jc w:val="both"/>
        <w:rPr>
          <w:rFonts w:ascii="Arial" w:hAnsi="Arial" w:cs="Arial"/>
          <w:sz w:val="22"/>
          <w:szCs w:val="22"/>
        </w:rPr>
      </w:pPr>
    </w:p>
    <w:p w:rsidR="00BA12E3" w:rsidRDefault="00BA12E3" w:rsidP="00BA12E3">
      <w:pPr>
        <w:jc w:val="both"/>
        <w:rPr>
          <w:rFonts w:ascii="Arial" w:hAnsi="Arial" w:cs="Arial"/>
          <w:sz w:val="22"/>
          <w:szCs w:val="22"/>
        </w:rPr>
      </w:pPr>
      <w:r w:rsidRPr="00B70220">
        <w:rPr>
          <w:rFonts w:ascii="Arial" w:hAnsi="Arial" w:cs="Arial"/>
          <w:sz w:val="22"/>
          <w:szCs w:val="22"/>
        </w:rPr>
        <w:t>Plnění vybraných daňových příjmů v</w:t>
      </w:r>
      <w:r>
        <w:rPr>
          <w:rFonts w:ascii="Arial" w:hAnsi="Arial" w:cs="Arial"/>
          <w:sz w:val="22"/>
          <w:szCs w:val="22"/>
        </w:rPr>
        <w:t> Kč:</w:t>
      </w:r>
    </w:p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60"/>
        <w:gridCol w:w="1420"/>
        <w:gridCol w:w="1701"/>
        <w:gridCol w:w="930"/>
        <w:gridCol w:w="1080"/>
      </w:tblGrid>
      <w:tr w:rsidR="009A1F60" w:rsidRPr="009A1F60" w:rsidTr="009A1F60">
        <w:trPr>
          <w:trHeight w:val="5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60" w:rsidRPr="009A1F60" w:rsidRDefault="009A1F60" w:rsidP="009A1F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rozpočet schválený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60" w:rsidRPr="009A1F60" w:rsidRDefault="009A1F60" w:rsidP="009A1F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rozpočet upravený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2019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60" w:rsidRPr="009A1F60" w:rsidRDefault="009A1F60" w:rsidP="009A1F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60" w:rsidRPr="009A1F60" w:rsidRDefault="009A1F60" w:rsidP="009A1F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RS 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F60" w:rsidRPr="009A1F60" w:rsidRDefault="009A1F60" w:rsidP="009A1F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RU</w:t>
            </w:r>
            <w:proofErr w:type="gramEnd"/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</w:tr>
      <w:tr w:rsidR="009A1F60" w:rsidRPr="009A1F60" w:rsidTr="009A1F60">
        <w:trPr>
          <w:trHeight w:val="2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 xml:space="preserve">daň z příjmu FO ze </w:t>
            </w:r>
            <w:proofErr w:type="spellStart"/>
            <w:r w:rsidRPr="009A1F60">
              <w:rPr>
                <w:rFonts w:ascii="Arial" w:hAnsi="Arial" w:cs="Arial"/>
                <w:sz w:val="20"/>
                <w:szCs w:val="20"/>
              </w:rPr>
              <w:t>záv.čin</w:t>
            </w:r>
            <w:proofErr w:type="spellEnd"/>
            <w:r w:rsidRPr="009A1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185 000 000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185 000 000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236 741 462,68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127,97%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127,97%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daň z příjmu FO OSVČ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5 998 590,15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149,96%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149,96%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 xml:space="preserve">daň z příjmu FO </w:t>
            </w:r>
            <w:proofErr w:type="spellStart"/>
            <w:r w:rsidRPr="009A1F60">
              <w:rPr>
                <w:rFonts w:ascii="Arial" w:hAnsi="Arial" w:cs="Arial"/>
                <w:sz w:val="20"/>
                <w:szCs w:val="20"/>
              </w:rPr>
              <w:t>kapit.výnos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16 000 000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16 000 000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20 229 012,86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126,43%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126,43%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daň z příjmu 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160 000 000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160 000 000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188 432 116,99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117,77%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117,77%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daň z přidané hodnoty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350 000 000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350 000 000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424 236 003,20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121,21%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121,21%</w:t>
            </w:r>
          </w:p>
        </w:tc>
      </w:tr>
      <w:tr w:rsidR="009A1F60" w:rsidRPr="009A1F60" w:rsidTr="009A1F60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sdílené daně celkem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715 000 000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715 000 000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875 637 185,88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122,47%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122,47%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daň z příjmu PO za obce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30 000 000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24 229 400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24 229 400,00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80,76%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poplatky v oblasti ŽP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22 300 000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22 300 000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22 884 501,58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102,62%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102,62%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v tom: komunální odpad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22 000 000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22 000 000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22 687 634,86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1F60">
              <w:rPr>
                <w:rFonts w:ascii="Arial" w:hAnsi="Arial" w:cs="Arial"/>
                <w:sz w:val="16"/>
                <w:szCs w:val="16"/>
              </w:rPr>
              <w:t>103,13%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1F60">
              <w:rPr>
                <w:rFonts w:ascii="Arial" w:hAnsi="Arial" w:cs="Arial"/>
                <w:sz w:val="16"/>
                <w:szCs w:val="16"/>
              </w:rPr>
              <w:t>103,13%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místní poplatky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3 250 000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3 250 000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5 832 169,76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179,45%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179,45%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v tom: poplatek ze psů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1 450 000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1 450 000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1F60">
              <w:rPr>
                <w:rFonts w:ascii="Arial" w:hAnsi="Arial" w:cs="Arial"/>
                <w:i/>
                <w:iCs/>
                <w:sz w:val="16"/>
                <w:szCs w:val="16"/>
              </w:rPr>
              <w:t>1 794 664,82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1F60">
              <w:rPr>
                <w:rFonts w:ascii="Arial" w:hAnsi="Arial" w:cs="Arial"/>
                <w:sz w:val="16"/>
                <w:szCs w:val="16"/>
              </w:rPr>
              <w:t>123,77%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1F60">
              <w:rPr>
                <w:rFonts w:ascii="Arial" w:hAnsi="Arial" w:cs="Arial"/>
                <w:sz w:val="16"/>
                <w:szCs w:val="16"/>
              </w:rPr>
              <w:t>123,77%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 xml:space="preserve">ostatní odvody z </w:t>
            </w:r>
            <w:proofErr w:type="spellStart"/>
            <w:r w:rsidRPr="009A1F60">
              <w:rPr>
                <w:rFonts w:ascii="Arial" w:hAnsi="Arial" w:cs="Arial"/>
                <w:sz w:val="20"/>
                <w:szCs w:val="20"/>
              </w:rPr>
              <w:t>vybr.činn</w:t>
            </w:r>
            <w:proofErr w:type="spellEnd"/>
            <w:r w:rsidRPr="009A1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1 300 000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1 830 884,12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správní poplatky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17 243 400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17 243 400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18 950 428,93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109,90%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109,90%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 xml:space="preserve">daně v oblasti </w:t>
            </w:r>
            <w:proofErr w:type="spellStart"/>
            <w:r w:rsidRPr="009A1F60">
              <w:rPr>
                <w:rFonts w:ascii="Arial" w:hAnsi="Arial" w:cs="Arial"/>
                <w:sz w:val="20"/>
                <w:szCs w:val="20"/>
              </w:rPr>
              <w:t>haz.her</w:t>
            </w:r>
            <w:proofErr w:type="spellEnd"/>
            <w:r w:rsidRPr="009A1F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54 000 000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54 000 000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47 424 096,90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87,82%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87,82%</w:t>
            </w:r>
          </w:p>
        </w:tc>
      </w:tr>
      <w:tr w:rsidR="009A1F60" w:rsidRPr="009A1F60" w:rsidTr="009A1F60">
        <w:trPr>
          <w:trHeight w:val="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daň z nemovitosti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65 000 000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65 000 000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66 247 255,89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101,92%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F60">
              <w:rPr>
                <w:rFonts w:ascii="Arial" w:hAnsi="Arial" w:cs="Arial"/>
                <w:sz w:val="20"/>
                <w:szCs w:val="20"/>
              </w:rPr>
              <w:t>101,92%</w:t>
            </w:r>
          </w:p>
        </w:tc>
      </w:tr>
      <w:tr w:rsidR="009A1F60" w:rsidRPr="009A1F60" w:rsidTr="009A1F60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908 093 400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902 322 800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1 063 035 923,06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117,06%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F60" w:rsidRPr="009A1F60" w:rsidRDefault="009A1F60" w:rsidP="009A1F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F60">
              <w:rPr>
                <w:rFonts w:ascii="Arial" w:hAnsi="Arial" w:cs="Arial"/>
                <w:b/>
                <w:bCs/>
                <w:sz w:val="20"/>
                <w:szCs w:val="20"/>
              </w:rPr>
              <w:t>117,81%</w:t>
            </w:r>
          </w:p>
        </w:tc>
      </w:tr>
    </w:tbl>
    <w:p w:rsidR="00BA12E3" w:rsidRPr="0041137A" w:rsidRDefault="00BA12E3" w:rsidP="00B12CC3">
      <w:pPr>
        <w:jc w:val="both"/>
        <w:rPr>
          <w:rFonts w:ascii="Arial" w:hAnsi="Arial" w:cs="Arial"/>
          <w:sz w:val="22"/>
          <w:szCs w:val="22"/>
        </w:rPr>
      </w:pPr>
    </w:p>
    <w:p w:rsidR="00440EC6" w:rsidRDefault="00440EC6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2D6927" w:rsidRDefault="002D6927">
      <w:pPr>
        <w:rPr>
          <w:rFonts w:ascii="Arial" w:hAnsi="Arial" w:cs="Arial"/>
          <w:sz w:val="22"/>
        </w:rPr>
      </w:pPr>
    </w:p>
    <w:p w:rsidR="00797EF5" w:rsidRDefault="00797E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Vybrané daňové příjmy</w:t>
      </w:r>
    </w:p>
    <w:p w:rsidR="00DE077B" w:rsidRDefault="00DE077B">
      <w:pPr>
        <w:rPr>
          <w:rFonts w:ascii="Arial" w:hAnsi="Arial" w:cs="Arial"/>
          <w:sz w:val="22"/>
        </w:rPr>
      </w:pPr>
    </w:p>
    <w:p w:rsidR="003A2FD0" w:rsidRDefault="001212E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0D06A5E6">
            <wp:extent cx="5838825" cy="33528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2EF" w:rsidRDefault="001212EF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1212EF" w:rsidRDefault="00D94F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Výnosy </w:t>
      </w:r>
      <w:r w:rsidR="00A60263">
        <w:rPr>
          <w:rFonts w:ascii="Arial" w:hAnsi="Arial" w:cs="Arial"/>
          <w:sz w:val="22"/>
        </w:rPr>
        <w:t>z</w:t>
      </w:r>
      <w:r w:rsidR="00DE077B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VHP</w:t>
      </w:r>
    </w:p>
    <w:p w:rsidR="00DE077B" w:rsidRDefault="00DE077B">
      <w:pPr>
        <w:rPr>
          <w:rFonts w:ascii="Arial" w:hAnsi="Arial" w:cs="Arial"/>
          <w:sz w:val="22"/>
        </w:rPr>
      </w:pPr>
    </w:p>
    <w:p w:rsidR="00D94FD3" w:rsidRDefault="003A62EE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4F4D0222" wp14:editId="38754E74">
            <wp:extent cx="5781675" cy="3638550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5A62" w:rsidRDefault="00A45A62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DE077B" w:rsidRDefault="00DE077B">
      <w:pPr>
        <w:rPr>
          <w:rFonts w:ascii="Arial" w:hAnsi="Arial" w:cs="Arial"/>
          <w:sz w:val="22"/>
        </w:rPr>
      </w:pPr>
    </w:p>
    <w:p w:rsidR="00EB0B17" w:rsidRDefault="00EB0B17">
      <w:pPr>
        <w:rPr>
          <w:rFonts w:ascii="Arial" w:hAnsi="Arial" w:cs="Arial"/>
          <w:sz w:val="22"/>
        </w:rPr>
      </w:pPr>
    </w:p>
    <w:p w:rsidR="00A45A62" w:rsidRDefault="00A45A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Daň z</w:t>
      </w:r>
      <w:r w:rsidR="00DE077B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nemovitosti</w:t>
      </w:r>
    </w:p>
    <w:p w:rsidR="00DE077B" w:rsidRDefault="00DE077B">
      <w:pPr>
        <w:rPr>
          <w:rFonts w:ascii="Arial" w:hAnsi="Arial" w:cs="Arial"/>
          <w:sz w:val="22"/>
        </w:rPr>
      </w:pPr>
    </w:p>
    <w:p w:rsidR="001741D9" w:rsidRDefault="00DE077B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0BF2CD71" wp14:editId="715FD68A">
            <wp:extent cx="5810250" cy="31432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E077B" w:rsidRDefault="00DE077B">
      <w:pPr>
        <w:rPr>
          <w:rFonts w:ascii="Arial" w:hAnsi="Arial" w:cs="Arial"/>
          <w:sz w:val="22"/>
        </w:rPr>
      </w:pPr>
    </w:p>
    <w:p w:rsidR="00DE077B" w:rsidRDefault="00DE077B" w:rsidP="00DE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sdílených daní a odvodů z hazardu od roku 2014 je uvedeno v příloze </w:t>
      </w:r>
      <w:hyperlink r:id="rId21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>A_18 plnění daňových příjmů a z hazardu</w:t>
        </w:r>
      </w:hyperlink>
      <w:r w:rsidRPr="001A681F">
        <w:rPr>
          <w:rFonts w:ascii="Arial" w:hAnsi="Arial" w:cs="Arial"/>
          <w:sz w:val="22"/>
          <w:szCs w:val="22"/>
        </w:rPr>
        <w:t>.</w:t>
      </w:r>
    </w:p>
    <w:p w:rsidR="00DE077B" w:rsidRDefault="00DE077B">
      <w:pPr>
        <w:rPr>
          <w:rFonts w:ascii="Arial" w:hAnsi="Arial" w:cs="Arial"/>
          <w:sz w:val="22"/>
        </w:rPr>
      </w:pPr>
    </w:p>
    <w:p w:rsidR="00424E0F" w:rsidRDefault="00424E0F">
      <w:pPr>
        <w:rPr>
          <w:rFonts w:ascii="Arial" w:hAnsi="Arial" w:cs="Arial"/>
          <w:sz w:val="22"/>
        </w:rPr>
      </w:pPr>
    </w:p>
    <w:p w:rsidR="00200907" w:rsidRPr="00CA643F" w:rsidRDefault="00200907" w:rsidP="00200907">
      <w:pPr>
        <w:jc w:val="both"/>
        <w:outlineLvl w:val="3"/>
        <w:rPr>
          <w:rFonts w:ascii="Arial" w:hAnsi="Arial" w:cs="Arial"/>
          <w:b/>
          <w:i/>
        </w:rPr>
      </w:pPr>
      <w:bookmarkStart w:id="4" w:name="_Toc513714451"/>
      <w:r w:rsidRPr="00956A25">
        <w:rPr>
          <w:rFonts w:ascii="Arial" w:hAnsi="Arial" w:cs="Arial"/>
          <w:b/>
          <w:i/>
        </w:rPr>
        <w:t>1.1.1.2 Nedaňové příjmy</w:t>
      </w:r>
      <w:bookmarkEnd w:id="4"/>
    </w:p>
    <w:p w:rsidR="00200907" w:rsidRDefault="00200907" w:rsidP="00200907">
      <w:pPr>
        <w:jc w:val="both"/>
        <w:rPr>
          <w:rFonts w:ascii="Arial" w:hAnsi="Arial" w:cs="Arial"/>
          <w:sz w:val="22"/>
          <w:szCs w:val="22"/>
        </w:rPr>
      </w:pPr>
      <w:r w:rsidRPr="00F2044C">
        <w:rPr>
          <w:rFonts w:ascii="Arial" w:hAnsi="Arial" w:cs="Arial"/>
          <w:sz w:val="22"/>
          <w:szCs w:val="22"/>
        </w:rPr>
        <w:t>Ned</w:t>
      </w:r>
      <w:r>
        <w:rPr>
          <w:rFonts w:ascii="Arial" w:hAnsi="Arial" w:cs="Arial"/>
          <w:sz w:val="22"/>
          <w:szCs w:val="22"/>
        </w:rPr>
        <w:t>aňové příjmy dosáhly v roce 2019</w:t>
      </w:r>
      <w:r w:rsidRPr="00F2044C">
        <w:rPr>
          <w:rFonts w:ascii="Arial" w:hAnsi="Arial" w:cs="Arial"/>
          <w:sz w:val="22"/>
          <w:szCs w:val="22"/>
        </w:rPr>
        <w:t xml:space="preserve"> objemu </w:t>
      </w:r>
      <w:r w:rsidR="002B5CDE">
        <w:rPr>
          <w:rFonts w:ascii="Arial" w:hAnsi="Arial" w:cs="Arial"/>
          <w:sz w:val="22"/>
          <w:szCs w:val="22"/>
        </w:rPr>
        <w:t>271.811.022,09</w:t>
      </w:r>
      <w:r>
        <w:rPr>
          <w:rFonts w:ascii="Arial" w:hAnsi="Arial" w:cs="Arial"/>
          <w:sz w:val="22"/>
          <w:szCs w:val="22"/>
        </w:rPr>
        <w:t xml:space="preserve"> Kč</w:t>
      </w:r>
      <w:r w:rsidR="009677FD">
        <w:rPr>
          <w:rFonts w:ascii="Arial" w:hAnsi="Arial" w:cs="Arial"/>
          <w:sz w:val="22"/>
          <w:szCs w:val="22"/>
        </w:rPr>
        <w:t>:</w:t>
      </w:r>
    </w:p>
    <w:p w:rsidR="009677FD" w:rsidRDefault="009677FD" w:rsidP="00200907">
      <w:pPr>
        <w:jc w:val="both"/>
        <w:rPr>
          <w:rFonts w:ascii="Arial" w:hAnsi="Arial" w:cs="Arial"/>
          <w:sz w:val="22"/>
          <w:szCs w:val="22"/>
        </w:rPr>
      </w:pPr>
    </w:p>
    <w:p w:rsidR="009677FD" w:rsidRDefault="009677FD" w:rsidP="002009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nedaňových př</w:t>
      </w:r>
      <w:r w:rsidR="00424E0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jmů</w:t>
      </w:r>
      <w:r w:rsidR="006003D4">
        <w:rPr>
          <w:rFonts w:ascii="Arial" w:hAnsi="Arial" w:cs="Arial"/>
          <w:sz w:val="22"/>
          <w:szCs w:val="22"/>
        </w:rPr>
        <w:t xml:space="preserve"> v Kč: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559"/>
        <w:gridCol w:w="1276"/>
      </w:tblGrid>
      <w:tr w:rsidR="002B5CDE" w:rsidRPr="002B5CDE" w:rsidTr="00424E0F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schválený (RS)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upravený (RU)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CDE" w:rsidRPr="002B5CDE" w:rsidRDefault="00424E0F" w:rsidP="00424E0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4E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skutečnost/</w:t>
            </w:r>
            <w:r w:rsidR="002B5CDE" w:rsidRPr="00424E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B5CDE" w:rsidRPr="002B5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RU (%)</w:t>
            </w:r>
          </w:p>
        </w:tc>
      </w:tr>
      <w:tr w:rsidR="002B5CDE" w:rsidRPr="002B5CDE" w:rsidTr="00424E0F">
        <w:trPr>
          <w:trHeight w:val="53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příjmy z vlastní činnosti (poskytování služeb a výrobků)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41 846 000,00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43 019 930,00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46 461 478,84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108,00%</w:t>
            </w:r>
          </w:p>
        </w:tc>
      </w:tr>
      <w:tr w:rsidR="002B5CDE" w:rsidRPr="002B5CDE" w:rsidTr="00424E0F">
        <w:trPr>
          <w:trHeight w:val="27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odvody příspěvkových organizací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2 621 283,00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131,06%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příjmy z pronájmu majetku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47 777 300,00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49 424 639,00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51 599 060,15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104,40%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 xml:space="preserve">výnosy z finančního majetku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1 110 000,00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5 701 631,37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471,21%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přijaté sankční platby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5 390 000,00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5 495 601,74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7 111 265,20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129,40%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přijaté vratky transferů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32 787,90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97 856,90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298,45%</w:t>
            </w:r>
          </w:p>
        </w:tc>
      </w:tr>
      <w:tr w:rsidR="002B5CDE" w:rsidRPr="002B5CDE" w:rsidTr="00424E0F">
        <w:trPr>
          <w:trHeight w:val="49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příjmy z prodeje krátkodobého a drobného dlouhodobého majetku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62 663,40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ostatní nedaňové příjmy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10 540 000,00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17 325 689,29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20 567 425,23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118,71%</w:t>
            </w:r>
          </w:p>
        </w:tc>
      </w:tr>
      <w:tr w:rsidR="002B5CDE" w:rsidRPr="002B5CDE" w:rsidTr="00424E0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056A85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splátky přij</w:t>
            </w:r>
            <w:r>
              <w:rPr>
                <w:rFonts w:ascii="Arial" w:hAnsi="Arial" w:cs="Arial"/>
                <w:sz w:val="20"/>
                <w:szCs w:val="20"/>
              </w:rPr>
              <w:t xml:space="preserve">atých </w:t>
            </w:r>
            <w:r w:rsidRPr="002B5CDE">
              <w:rPr>
                <w:rFonts w:ascii="Arial" w:hAnsi="Arial" w:cs="Arial"/>
                <w:sz w:val="20"/>
                <w:szCs w:val="20"/>
              </w:rPr>
              <w:t>půjč.</w:t>
            </w:r>
            <w:r w:rsidR="00056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B5CDE">
              <w:rPr>
                <w:rFonts w:ascii="Arial" w:hAnsi="Arial" w:cs="Arial"/>
                <w:sz w:val="20"/>
                <w:szCs w:val="20"/>
              </w:rPr>
              <w:t>prostředků</w:t>
            </w:r>
            <w:proofErr w:type="gramEnd"/>
            <w:r w:rsidRPr="002B5CDE">
              <w:rPr>
                <w:rFonts w:ascii="Arial" w:hAnsi="Arial" w:cs="Arial"/>
                <w:sz w:val="20"/>
                <w:szCs w:val="20"/>
              </w:rPr>
              <w:t xml:space="preserve"> od podnik. subjektů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132 986 000,00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132 986 000,00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2B5CDE" w:rsidRPr="002B5CDE" w:rsidTr="00424E0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7B5B11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splátky při</w:t>
            </w:r>
            <w:r>
              <w:rPr>
                <w:rFonts w:ascii="Arial" w:hAnsi="Arial" w:cs="Arial"/>
                <w:sz w:val="20"/>
                <w:szCs w:val="20"/>
              </w:rPr>
              <w:t xml:space="preserve">jatých </w:t>
            </w:r>
            <w:r w:rsidRPr="002B5CDE">
              <w:rPr>
                <w:rFonts w:ascii="Arial" w:hAnsi="Arial" w:cs="Arial"/>
                <w:sz w:val="20"/>
                <w:szCs w:val="20"/>
              </w:rPr>
              <w:t>půjč.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B5CDE">
              <w:rPr>
                <w:rFonts w:ascii="Arial" w:hAnsi="Arial" w:cs="Arial"/>
                <w:sz w:val="20"/>
                <w:szCs w:val="20"/>
              </w:rPr>
              <w:t>prostředků</w:t>
            </w:r>
            <w:proofErr w:type="gramEnd"/>
            <w:r w:rsidRPr="002B5CDE">
              <w:rPr>
                <w:rFonts w:ascii="Arial" w:hAnsi="Arial" w:cs="Arial"/>
                <w:sz w:val="20"/>
                <w:szCs w:val="20"/>
              </w:rPr>
              <w:t xml:space="preserve"> od obecně prosp</w:t>
            </w:r>
            <w:r w:rsidR="007B5B11">
              <w:rPr>
                <w:rFonts w:ascii="Arial" w:hAnsi="Arial" w:cs="Arial"/>
                <w:sz w:val="20"/>
                <w:szCs w:val="20"/>
              </w:rPr>
              <w:t>ěšných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CDE">
              <w:rPr>
                <w:rFonts w:ascii="Arial" w:hAnsi="Arial" w:cs="Arial"/>
                <w:sz w:val="20"/>
                <w:szCs w:val="20"/>
              </w:rPr>
              <w:t>společností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2B5CDE" w:rsidRPr="002B5CDE" w:rsidTr="00424E0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splátky přij</w:t>
            </w:r>
            <w:r>
              <w:rPr>
                <w:rFonts w:ascii="Arial" w:hAnsi="Arial" w:cs="Arial"/>
                <w:sz w:val="20"/>
                <w:szCs w:val="20"/>
              </w:rPr>
              <w:t xml:space="preserve">atých </w:t>
            </w:r>
            <w:r w:rsidRPr="002B5CDE">
              <w:rPr>
                <w:rFonts w:ascii="Arial" w:hAnsi="Arial" w:cs="Arial"/>
                <w:sz w:val="20"/>
                <w:szCs w:val="20"/>
              </w:rPr>
              <w:t>půjč.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B5CDE">
              <w:rPr>
                <w:rFonts w:ascii="Arial" w:hAnsi="Arial" w:cs="Arial"/>
                <w:sz w:val="20"/>
                <w:szCs w:val="20"/>
              </w:rPr>
              <w:t>prostředků</w:t>
            </w:r>
            <w:proofErr w:type="gramEnd"/>
            <w:r w:rsidRPr="002B5CDE">
              <w:rPr>
                <w:rFonts w:ascii="Arial" w:hAnsi="Arial" w:cs="Arial"/>
                <w:sz w:val="20"/>
                <w:szCs w:val="20"/>
              </w:rPr>
              <w:t xml:space="preserve"> od příspěvkových organizací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9 860 500,00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9 860 500,00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4 502 358,00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CDE">
              <w:rPr>
                <w:rFonts w:ascii="Arial" w:hAnsi="Arial" w:cs="Arial"/>
                <w:sz w:val="20"/>
                <w:szCs w:val="20"/>
              </w:rPr>
              <w:t>45,66%</w:t>
            </w:r>
          </w:p>
        </w:tc>
      </w:tr>
      <w:tr w:rsidR="002B5CDE" w:rsidRPr="002B5CDE" w:rsidTr="00424E0F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sz w:val="20"/>
                <w:szCs w:val="20"/>
              </w:rPr>
              <w:t>NEDAŇOVÉ PŘÍJMY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sz w:val="20"/>
                <w:szCs w:val="20"/>
              </w:rPr>
              <w:t>118 023 800,00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sz w:val="20"/>
                <w:szCs w:val="20"/>
              </w:rPr>
              <w:t>261 355 147,93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sz w:val="20"/>
                <w:szCs w:val="20"/>
              </w:rPr>
              <w:t>271 811 022,09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DE" w:rsidRPr="002B5CDE" w:rsidRDefault="002B5CDE" w:rsidP="002B5C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E">
              <w:rPr>
                <w:rFonts w:ascii="Arial" w:hAnsi="Arial" w:cs="Arial"/>
                <w:b/>
                <w:bCs/>
                <w:sz w:val="20"/>
                <w:szCs w:val="20"/>
              </w:rPr>
              <w:t>104,00%</w:t>
            </w:r>
          </w:p>
        </w:tc>
      </w:tr>
    </w:tbl>
    <w:p w:rsidR="002B5CDE" w:rsidRDefault="002B5CDE">
      <w:pPr>
        <w:rPr>
          <w:rFonts w:ascii="Arial" w:hAnsi="Arial" w:cs="Arial"/>
          <w:sz w:val="22"/>
        </w:rPr>
      </w:pPr>
    </w:p>
    <w:p w:rsidR="008D3682" w:rsidRDefault="008D3682" w:rsidP="008D3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Oblast příjmů v části „příjmy z vlastní činnosti“ tvoří podstatnou část </w:t>
      </w:r>
      <w:r w:rsidR="0002393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říjmy z poskytovaných služeb, především nájemcům v prostorách, kde je SMO vlastníkem. Je však nutné zdůraznit, </w:t>
      </w:r>
      <w:r>
        <w:rPr>
          <w:rFonts w:ascii="Arial" w:hAnsi="Arial" w:cs="Arial"/>
          <w:sz w:val="22"/>
          <w:szCs w:val="22"/>
        </w:rPr>
        <w:lastRenderedPageBreak/>
        <w:t>že tato příjmová stránka se projevuje i na straně výdajů, kdy SMO jako vlastník hradí náklady na služby v těchto prostorách. Celkovou výši nedaňových příjmů v</w:t>
      </w:r>
      <w:r w:rsidR="0016241B">
        <w:rPr>
          <w:rFonts w:ascii="Arial" w:hAnsi="Arial" w:cs="Arial"/>
          <w:sz w:val="22"/>
          <w:szCs w:val="22"/>
        </w:rPr>
        <w:t> roce 2019 proti předchozím letům výrazně ovlivnil příjem „splátky př</w:t>
      </w:r>
      <w:r w:rsidR="00623507">
        <w:rPr>
          <w:rFonts w:ascii="Arial" w:hAnsi="Arial" w:cs="Arial"/>
          <w:sz w:val="22"/>
          <w:szCs w:val="22"/>
        </w:rPr>
        <w:t>ijatých půjčených prostředků od </w:t>
      </w:r>
      <w:r w:rsidR="0016241B">
        <w:rPr>
          <w:rFonts w:ascii="Arial" w:hAnsi="Arial" w:cs="Arial"/>
          <w:sz w:val="22"/>
          <w:szCs w:val="22"/>
        </w:rPr>
        <w:t>podnikatelských subjektů“, kdy SMO vrátil zápůjčku Městský dopravní podnik a.s. ve výši 132.986.000,00 Kč. Tento příjem byl v plné výši použit na úhradu splátky úvěru.</w:t>
      </w:r>
    </w:p>
    <w:p w:rsidR="008D3682" w:rsidRDefault="0016241B" w:rsidP="008D3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část příjmů v oblasti „o</w:t>
      </w:r>
      <w:r w:rsidR="008D3682">
        <w:rPr>
          <w:rFonts w:ascii="Arial" w:hAnsi="Arial" w:cs="Arial"/>
          <w:sz w:val="22"/>
          <w:szCs w:val="22"/>
        </w:rPr>
        <w:t>statní nedaňové příjmy</w:t>
      </w:r>
      <w:r>
        <w:rPr>
          <w:rFonts w:ascii="Arial" w:hAnsi="Arial" w:cs="Arial"/>
          <w:sz w:val="22"/>
          <w:szCs w:val="22"/>
        </w:rPr>
        <w:t>“</w:t>
      </w:r>
      <w:r w:rsidR="008D3682">
        <w:rPr>
          <w:rFonts w:ascii="Arial" w:hAnsi="Arial" w:cs="Arial"/>
          <w:sz w:val="22"/>
          <w:szCs w:val="22"/>
        </w:rPr>
        <w:t xml:space="preserve"> představuje příjmy za prodej separovaného odpadu z odboru životního prostředí</w:t>
      </w:r>
      <w:r>
        <w:rPr>
          <w:rFonts w:ascii="Arial" w:hAnsi="Arial" w:cs="Arial"/>
          <w:sz w:val="22"/>
          <w:szCs w:val="22"/>
        </w:rPr>
        <w:t xml:space="preserve"> (8.782.031,65</w:t>
      </w:r>
      <w:r w:rsidR="0062350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), dále mezi významnější příjmy patří různé fakturované příjmy (2.593.289,37</w:t>
      </w:r>
      <w:r w:rsidR="0062350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), přís</w:t>
      </w:r>
      <w:r w:rsidR="00623507">
        <w:rPr>
          <w:rFonts w:ascii="Arial" w:hAnsi="Arial" w:cs="Arial"/>
          <w:sz w:val="22"/>
          <w:szCs w:val="22"/>
        </w:rPr>
        <w:t>pěvek na dopravní obslužnost od </w:t>
      </w:r>
      <w:r>
        <w:rPr>
          <w:rFonts w:ascii="Arial" w:hAnsi="Arial" w:cs="Arial"/>
          <w:sz w:val="22"/>
          <w:szCs w:val="22"/>
        </w:rPr>
        <w:t>příměstských obcí (</w:t>
      </w:r>
      <w:r w:rsidR="00623507">
        <w:rPr>
          <w:rFonts w:ascii="Arial" w:hAnsi="Arial" w:cs="Arial"/>
          <w:sz w:val="22"/>
          <w:szCs w:val="22"/>
        </w:rPr>
        <w:t>2.719.503,00 Kč) či platby za bezdůvodné obohacení</w:t>
      </w:r>
      <w:r>
        <w:rPr>
          <w:rFonts w:ascii="Arial" w:hAnsi="Arial" w:cs="Arial"/>
          <w:sz w:val="22"/>
          <w:szCs w:val="22"/>
        </w:rPr>
        <w:t xml:space="preserve"> </w:t>
      </w:r>
      <w:r w:rsidR="00623507">
        <w:rPr>
          <w:rFonts w:ascii="Arial" w:hAnsi="Arial" w:cs="Arial"/>
          <w:sz w:val="22"/>
          <w:szCs w:val="22"/>
        </w:rPr>
        <w:t>(1.297.893,89 Kč).</w:t>
      </w:r>
    </w:p>
    <w:p w:rsidR="00623507" w:rsidRDefault="00623507" w:rsidP="008D3682">
      <w:pPr>
        <w:jc w:val="both"/>
        <w:rPr>
          <w:rFonts w:ascii="Arial" w:hAnsi="Arial" w:cs="Arial"/>
          <w:sz w:val="22"/>
          <w:szCs w:val="22"/>
        </w:rPr>
      </w:pPr>
    </w:p>
    <w:p w:rsidR="00623507" w:rsidRDefault="00D50DD6" w:rsidP="008D3682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27129AB" wp14:editId="5569184A">
            <wp:extent cx="5705475" cy="2743200"/>
            <wp:effectExtent l="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4E0F" w:rsidRDefault="00424E0F">
      <w:pPr>
        <w:rPr>
          <w:rFonts w:ascii="Arial" w:hAnsi="Arial" w:cs="Arial"/>
          <w:sz w:val="22"/>
        </w:rPr>
      </w:pPr>
    </w:p>
    <w:p w:rsidR="00424E0F" w:rsidRDefault="00424E0F">
      <w:pPr>
        <w:rPr>
          <w:rFonts w:ascii="Arial" w:hAnsi="Arial" w:cs="Arial"/>
          <w:sz w:val="22"/>
        </w:rPr>
      </w:pPr>
    </w:p>
    <w:p w:rsidR="00911218" w:rsidRDefault="00911218">
      <w:pPr>
        <w:rPr>
          <w:rFonts w:ascii="Arial" w:hAnsi="Arial" w:cs="Arial"/>
          <w:sz w:val="22"/>
        </w:rPr>
      </w:pPr>
    </w:p>
    <w:p w:rsidR="00424E0F" w:rsidRDefault="00424E0F">
      <w:pPr>
        <w:rPr>
          <w:rFonts w:ascii="Arial" w:hAnsi="Arial" w:cs="Arial"/>
          <w:sz w:val="22"/>
        </w:rPr>
      </w:pPr>
    </w:p>
    <w:p w:rsidR="00506E85" w:rsidRPr="00D64B09" w:rsidRDefault="00506E85" w:rsidP="00506E85">
      <w:pPr>
        <w:jc w:val="both"/>
        <w:outlineLvl w:val="3"/>
        <w:rPr>
          <w:rFonts w:ascii="Arial" w:hAnsi="Arial" w:cs="Arial"/>
          <w:b/>
          <w:i/>
        </w:rPr>
      </w:pPr>
      <w:bookmarkStart w:id="5" w:name="_Toc513714452"/>
      <w:r w:rsidRPr="00D64B09">
        <w:rPr>
          <w:rFonts w:ascii="Arial" w:hAnsi="Arial" w:cs="Arial"/>
          <w:b/>
          <w:i/>
        </w:rPr>
        <w:t>1.1.1.3 Kapitálové příjmy</w:t>
      </w:r>
      <w:bookmarkEnd w:id="5"/>
    </w:p>
    <w:p w:rsidR="00506E85" w:rsidRDefault="00506E85" w:rsidP="00506E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schváleném rozpočtu na rok 2019 město počítalo s kapitálovými příjmy ve výši 12.070.000,00 Kč, skutečnost pak byla 14.773.504,70 Kč.</w:t>
      </w:r>
    </w:p>
    <w:p w:rsidR="00424E0F" w:rsidRDefault="00424E0F">
      <w:pPr>
        <w:rPr>
          <w:rFonts w:ascii="Arial" w:hAnsi="Arial" w:cs="Arial"/>
          <w:sz w:val="22"/>
        </w:rPr>
      </w:pPr>
    </w:p>
    <w:p w:rsidR="00911218" w:rsidRDefault="00911218">
      <w:pPr>
        <w:rPr>
          <w:rFonts w:ascii="Arial" w:hAnsi="Arial" w:cs="Arial"/>
          <w:sz w:val="22"/>
        </w:rPr>
      </w:pPr>
    </w:p>
    <w:p w:rsidR="00E91B64" w:rsidRDefault="00E91B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Přehled kapitálových příjmů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275"/>
      </w:tblGrid>
      <w:tr w:rsidR="00E91B64" w:rsidRPr="00E91B64" w:rsidTr="00E91B64">
        <w:trPr>
          <w:trHeight w:val="7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schválený (RS) 2019</w:t>
            </w:r>
            <w:r w:rsidR="00FA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upravený (RU) 2019</w:t>
            </w:r>
            <w:r w:rsidR="00FA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</w:t>
            </w:r>
            <w:r w:rsidR="00FA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RU</w:t>
            </w:r>
            <w:proofErr w:type="gramEnd"/>
            <w:r w:rsidRPr="00E91B6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</w:tr>
      <w:tr w:rsidR="00E91B64" w:rsidRPr="00E91B64" w:rsidTr="00E91B64">
        <w:trPr>
          <w:trHeight w:val="2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příjmy z prodeje pozemků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13 108 554,00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218,48%</w:t>
            </w:r>
          </w:p>
        </w:tc>
      </w:tr>
      <w:tr w:rsidR="00E91B64" w:rsidRPr="00E91B64" w:rsidTr="00E91B64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příjmy z prodeje ostatních nemovitostí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6 070 000,00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6 070 000,00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181 790,70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2,99%</w:t>
            </w:r>
          </w:p>
        </w:tc>
      </w:tr>
      <w:tr w:rsidR="00E91B64" w:rsidRPr="00E91B64" w:rsidTr="00911218">
        <w:trPr>
          <w:trHeight w:val="4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911218">
            <w:pPr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příjmy z prodeje ostatního hmotného dlouh</w:t>
            </w:r>
            <w:r>
              <w:rPr>
                <w:rFonts w:ascii="Arial" w:hAnsi="Arial" w:cs="Arial"/>
                <w:sz w:val="20"/>
                <w:szCs w:val="20"/>
              </w:rPr>
              <w:t xml:space="preserve">odobého </w:t>
            </w:r>
            <w:r w:rsidRPr="00E91B64">
              <w:rPr>
                <w:rFonts w:ascii="Arial" w:hAnsi="Arial" w:cs="Arial"/>
                <w:sz w:val="20"/>
                <w:szCs w:val="20"/>
              </w:rPr>
              <w:t>majetku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43 249,00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1 481 894,00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3426,42%</w:t>
            </w:r>
          </w:p>
        </w:tc>
      </w:tr>
      <w:tr w:rsidR="00E91B64" w:rsidRPr="00E91B64" w:rsidTr="00E91B64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přijaté dary na pořízení dlouhod</w:t>
            </w:r>
            <w:r>
              <w:rPr>
                <w:rFonts w:ascii="Arial" w:hAnsi="Arial" w:cs="Arial"/>
                <w:sz w:val="20"/>
                <w:szCs w:val="20"/>
              </w:rPr>
              <w:t>obého</w:t>
            </w:r>
            <w:r w:rsidRPr="00E91B64">
              <w:rPr>
                <w:rFonts w:ascii="Arial" w:hAnsi="Arial" w:cs="Arial"/>
                <w:sz w:val="20"/>
                <w:szCs w:val="20"/>
              </w:rPr>
              <w:t xml:space="preserve"> majetku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E91B64" w:rsidRPr="00E91B64" w:rsidTr="00E91B64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příjmy z prodeje majetkových podílů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1 266,00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E91B64" w:rsidRPr="00E91B64" w:rsidTr="00E91B64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sz w:val="20"/>
                <w:szCs w:val="20"/>
              </w:rPr>
              <w:t>KAPITÁLOVÉ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sz w:val="20"/>
                <w:szCs w:val="20"/>
              </w:rPr>
              <w:t>12 070 000,00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sz w:val="20"/>
                <w:szCs w:val="20"/>
              </w:rPr>
              <w:t>12 113 249,00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B64">
              <w:rPr>
                <w:rFonts w:ascii="Arial" w:hAnsi="Arial" w:cs="Arial"/>
                <w:b/>
                <w:bCs/>
                <w:sz w:val="20"/>
                <w:szCs w:val="20"/>
              </w:rPr>
              <w:t>14 773 504,70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B64" w:rsidRPr="00E91B64" w:rsidRDefault="00E91B64" w:rsidP="00E91B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1B64">
              <w:rPr>
                <w:rFonts w:ascii="Arial" w:hAnsi="Arial" w:cs="Arial"/>
                <w:sz w:val="20"/>
                <w:szCs w:val="20"/>
              </w:rPr>
              <w:t>121,96%</w:t>
            </w:r>
          </w:p>
        </w:tc>
      </w:tr>
    </w:tbl>
    <w:p w:rsidR="00E91B64" w:rsidRDefault="00E91B64">
      <w:pPr>
        <w:rPr>
          <w:rFonts w:ascii="Arial" w:hAnsi="Arial" w:cs="Arial"/>
          <w:sz w:val="22"/>
        </w:rPr>
      </w:pPr>
    </w:p>
    <w:p w:rsidR="00911218" w:rsidRDefault="00911218">
      <w:pPr>
        <w:rPr>
          <w:rFonts w:ascii="Arial" w:hAnsi="Arial" w:cs="Arial"/>
          <w:sz w:val="22"/>
        </w:rPr>
      </w:pPr>
    </w:p>
    <w:p w:rsidR="00911218" w:rsidRDefault="00911218">
      <w:pPr>
        <w:rPr>
          <w:rFonts w:ascii="Arial" w:hAnsi="Arial" w:cs="Arial"/>
          <w:sz w:val="22"/>
        </w:rPr>
      </w:pPr>
    </w:p>
    <w:p w:rsidR="00911218" w:rsidRDefault="00911218">
      <w:pPr>
        <w:rPr>
          <w:rFonts w:ascii="Arial" w:hAnsi="Arial" w:cs="Arial"/>
          <w:sz w:val="22"/>
        </w:rPr>
      </w:pPr>
    </w:p>
    <w:p w:rsidR="00911218" w:rsidRDefault="0078414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753100" cy="3096895"/>
            <wp:effectExtent l="0" t="0" r="0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br w:type="textWrapping" w:clear="all"/>
      </w:r>
    </w:p>
    <w:p w:rsidR="00E067FF" w:rsidRPr="00CA643F" w:rsidRDefault="00E067FF" w:rsidP="00E067FF">
      <w:pPr>
        <w:jc w:val="both"/>
        <w:outlineLvl w:val="3"/>
        <w:rPr>
          <w:rFonts w:ascii="Arial" w:hAnsi="Arial" w:cs="Arial"/>
          <w:b/>
          <w:i/>
        </w:rPr>
      </w:pPr>
      <w:bookmarkStart w:id="6" w:name="_Toc513714453"/>
      <w:r>
        <w:rPr>
          <w:rFonts w:ascii="Arial" w:hAnsi="Arial" w:cs="Arial"/>
          <w:b/>
          <w:i/>
        </w:rPr>
        <w:t>1</w:t>
      </w:r>
      <w:r w:rsidRPr="00CA643F">
        <w:rPr>
          <w:rFonts w:ascii="Arial" w:hAnsi="Arial" w:cs="Arial"/>
          <w:b/>
          <w:i/>
        </w:rPr>
        <w:t>.1.</w:t>
      </w:r>
      <w:r>
        <w:rPr>
          <w:rFonts w:ascii="Arial" w:hAnsi="Arial" w:cs="Arial"/>
          <w:b/>
          <w:i/>
        </w:rPr>
        <w:t>1.</w:t>
      </w:r>
      <w:r w:rsidRPr="00CA643F">
        <w:rPr>
          <w:rFonts w:ascii="Arial" w:hAnsi="Arial" w:cs="Arial"/>
          <w:b/>
          <w:i/>
        </w:rPr>
        <w:t>4 Přijaté dotace</w:t>
      </w:r>
      <w:bookmarkEnd w:id="6"/>
    </w:p>
    <w:p w:rsidR="00E067FF" w:rsidRDefault="00E067FF" w:rsidP="00E067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 přijalo v roce 2019</w:t>
      </w:r>
      <w:r w:rsidRPr="00F2044C">
        <w:rPr>
          <w:rFonts w:ascii="Arial" w:hAnsi="Arial" w:cs="Arial"/>
          <w:sz w:val="22"/>
          <w:szCs w:val="22"/>
        </w:rPr>
        <w:t xml:space="preserve"> dotace v celkové výši </w:t>
      </w:r>
      <w:r w:rsidR="009340C6">
        <w:rPr>
          <w:rFonts w:ascii="Arial" w:hAnsi="Arial" w:cs="Arial"/>
          <w:sz w:val="22"/>
          <w:szCs w:val="22"/>
        </w:rPr>
        <w:t>174.519.957,18</w:t>
      </w:r>
      <w:r>
        <w:rPr>
          <w:rFonts w:ascii="Arial" w:hAnsi="Arial" w:cs="Arial"/>
          <w:sz w:val="22"/>
          <w:szCs w:val="22"/>
        </w:rPr>
        <w:t xml:space="preserve"> </w:t>
      </w:r>
      <w:r w:rsidRPr="00F2044C">
        <w:rPr>
          <w:rFonts w:ascii="Arial" w:hAnsi="Arial" w:cs="Arial"/>
          <w:sz w:val="22"/>
          <w:szCs w:val="22"/>
        </w:rPr>
        <w:t xml:space="preserve">Kč. </w:t>
      </w:r>
      <w:r w:rsidRPr="009F15F5">
        <w:rPr>
          <w:rFonts w:ascii="Arial" w:hAnsi="Arial" w:cs="Arial"/>
          <w:sz w:val="22"/>
          <w:szCs w:val="22"/>
        </w:rPr>
        <w:t xml:space="preserve">V tabulkách </w:t>
      </w:r>
      <w:hyperlink r:id="rId24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>A_25_seznam přijatých dotací</w:t>
        </w:r>
      </w:hyperlink>
      <w:r w:rsidRPr="009F15F5">
        <w:rPr>
          <w:rFonts w:ascii="Arial" w:hAnsi="Arial" w:cs="Arial"/>
          <w:sz w:val="22"/>
          <w:szCs w:val="22"/>
        </w:rPr>
        <w:t xml:space="preserve"> a </w:t>
      </w:r>
      <w:hyperlink r:id="rId25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>A_26_seznam přijatých dotací z operačních programů</w:t>
        </w:r>
      </w:hyperlink>
      <w:r>
        <w:rPr>
          <w:rFonts w:ascii="Arial" w:hAnsi="Arial" w:cs="Arial"/>
          <w:sz w:val="22"/>
          <w:szCs w:val="22"/>
        </w:rPr>
        <w:t xml:space="preserve"> jsou zobrazeny všechny přijaté dotace se zohledněním poskytovatelů,</w:t>
      </w:r>
      <w:r w:rsidR="00BA3F3F">
        <w:rPr>
          <w:rFonts w:ascii="Arial" w:hAnsi="Arial" w:cs="Arial"/>
          <w:sz w:val="22"/>
          <w:szCs w:val="22"/>
        </w:rPr>
        <w:t xml:space="preserve"> příjemců, účel</w:t>
      </w:r>
      <w:r w:rsidR="00980486">
        <w:rPr>
          <w:rFonts w:ascii="Arial" w:hAnsi="Arial" w:cs="Arial"/>
          <w:sz w:val="22"/>
          <w:szCs w:val="22"/>
        </w:rPr>
        <w:t>ů</w:t>
      </w:r>
      <w:r w:rsidR="00BA3F3F">
        <w:rPr>
          <w:rFonts w:ascii="Arial" w:hAnsi="Arial" w:cs="Arial"/>
          <w:sz w:val="22"/>
          <w:szCs w:val="22"/>
        </w:rPr>
        <w:t>, finanční výše</w:t>
      </w:r>
      <w:r>
        <w:rPr>
          <w:rFonts w:ascii="Arial" w:hAnsi="Arial" w:cs="Arial"/>
          <w:sz w:val="22"/>
          <w:szCs w:val="22"/>
        </w:rPr>
        <w:t xml:space="preserve"> apod. </w:t>
      </w:r>
      <w:r w:rsidR="00CB552C">
        <w:rPr>
          <w:rFonts w:ascii="Arial" w:hAnsi="Arial" w:cs="Arial"/>
          <w:sz w:val="22"/>
          <w:szCs w:val="22"/>
        </w:rPr>
        <w:t>Při </w:t>
      </w:r>
      <w:r w:rsidRPr="00F2044C">
        <w:rPr>
          <w:rFonts w:ascii="Arial" w:hAnsi="Arial" w:cs="Arial"/>
          <w:sz w:val="22"/>
          <w:szCs w:val="22"/>
        </w:rPr>
        <w:t xml:space="preserve">schvalování rozpočtu byl zapojen příjem transferu v rámci </w:t>
      </w:r>
      <w:r w:rsidR="00E77742">
        <w:rPr>
          <w:rFonts w:ascii="Arial" w:hAnsi="Arial" w:cs="Arial"/>
          <w:sz w:val="22"/>
          <w:szCs w:val="22"/>
        </w:rPr>
        <w:t>SDV</w:t>
      </w:r>
      <w:r>
        <w:rPr>
          <w:rFonts w:ascii="Arial" w:hAnsi="Arial" w:cs="Arial"/>
          <w:sz w:val="22"/>
          <w:szCs w:val="22"/>
        </w:rPr>
        <w:t>.</w:t>
      </w:r>
      <w:r w:rsidRPr="00F2044C">
        <w:rPr>
          <w:rFonts w:ascii="Arial" w:hAnsi="Arial" w:cs="Arial"/>
          <w:sz w:val="22"/>
          <w:szCs w:val="22"/>
        </w:rPr>
        <w:t xml:space="preserve"> Tato částka byla navržena v objemu </w:t>
      </w:r>
      <w:r w:rsidR="00A03BBF">
        <w:rPr>
          <w:rFonts w:ascii="Arial" w:hAnsi="Arial" w:cs="Arial"/>
          <w:sz w:val="22"/>
          <w:szCs w:val="22"/>
        </w:rPr>
        <w:t>65.124.000,00</w:t>
      </w:r>
      <w:r>
        <w:rPr>
          <w:rFonts w:ascii="Arial" w:hAnsi="Arial" w:cs="Arial"/>
          <w:sz w:val="22"/>
          <w:szCs w:val="22"/>
        </w:rPr>
        <w:t xml:space="preserve"> Kč, </w:t>
      </w:r>
      <w:r w:rsidR="00A03BBF">
        <w:rPr>
          <w:rFonts w:ascii="Arial" w:hAnsi="Arial" w:cs="Arial"/>
          <w:sz w:val="22"/>
          <w:szCs w:val="22"/>
        </w:rPr>
        <w:t>tato výše pak byla usnesením č. 25/8/RM/19 z 30. 01. 2019 upravena na konečnou výši 68.104.500,00 Kč. S</w:t>
      </w:r>
      <w:r>
        <w:rPr>
          <w:rFonts w:ascii="Arial" w:hAnsi="Arial" w:cs="Arial"/>
          <w:sz w:val="22"/>
          <w:szCs w:val="22"/>
        </w:rPr>
        <w:t>kutečný příjem této dotace byl totožný</w:t>
      </w:r>
      <w:r w:rsidR="00A03BBF">
        <w:rPr>
          <w:rFonts w:ascii="Arial" w:hAnsi="Arial" w:cs="Arial"/>
          <w:sz w:val="22"/>
          <w:szCs w:val="22"/>
        </w:rPr>
        <w:t xml:space="preserve"> s upraveným rozpočtem</w:t>
      </w:r>
      <w:r>
        <w:rPr>
          <w:rFonts w:ascii="Arial" w:hAnsi="Arial" w:cs="Arial"/>
          <w:sz w:val="22"/>
          <w:szCs w:val="22"/>
        </w:rPr>
        <w:t>. Pro informaci přikládáme tabulku, jak se vyvíje</w:t>
      </w:r>
      <w:r w:rsidR="0052458F">
        <w:rPr>
          <w:rFonts w:ascii="Arial" w:hAnsi="Arial" w:cs="Arial"/>
          <w:sz w:val="22"/>
          <w:szCs w:val="22"/>
        </w:rPr>
        <w:t>l příjem této dotace od </w:t>
      </w:r>
      <w:r>
        <w:rPr>
          <w:rFonts w:ascii="Arial" w:hAnsi="Arial" w:cs="Arial"/>
          <w:sz w:val="22"/>
          <w:szCs w:val="22"/>
        </w:rPr>
        <w:t>roku 201</w:t>
      </w:r>
      <w:r w:rsidR="00A03BB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7038F3" w:rsidRDefault="007038F3">
      <w:pPr>
        <w:rPr>
          <w:rFonts w:ascii="Arial" w:hAnsi="Arial" w:cs="Arial"/>
          <w:sz w:val="22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44C0E" w:rsidRPr="00544C0E" w:rsidTr="00544C0E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sz w:val="20"/>
                <w:szCs w:val="20"/>
              </w:rPr>
            </w:pPr>
            <w:r w:rsidRPr="00544C0E">
              <w:rPr>
                <w:rFonts w:ascii="Arial" w:hAnsi="Arial" w:cs="Arial"/>
                <w:sz w:val="20"/>
                <w:szCs w:val="20"/>
              </w:rPr>
              <w:t>v mil. Kč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</w:tr>
      <w:tr w:rsidR="00544C0E" w:rsidRPr="00544C0E" w:rsidTr="00544C0E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výkon stát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ní </w:t>
            </w: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správy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68,104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62,023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58,766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54,220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54,256</w:t>
            </w:r>
          </w:p>
        </w:tc>
      </w:tr>
      <w:tr w:rsidR="00544C0E" w:rsidRPr="00544C0E" w:rsidTr="00544C0E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příspěvek </w:t>
            </w:r>
            <w:r w:rsidR="008C5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C0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9,472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9,382</w:t>
            </w:r>
          </w:p>
        </w:tc>
      </w:tr>
      <w:tr w:rsidR="00544C0E" w:rsidRPr="00544C0E" w:rsidTr="00544C0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dojíž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dějící </w:t>
            </w: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žáci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C0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0,453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0,470</w:t>
            </w:r>
          </w:p>
        </w:tc>
      </w:tr>
      <w:tr w:rsidR="00544C0E" w:rsidRPr="00544C0E" w:rsidTr="00544C0E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68,104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62,023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58,766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54,220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53,390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63,226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4C0E">
              <w:rPr>
                <w:rFonts w:ascii="Arial" w:hAnsi="Arial" w:cs="Arial"/>
                <w:sz w:val="18"/>
                <w:szCs w:val="18"/>
              </w:rPr>
              <w:t>64,108</w:t>
            </w:r>
          </w:p>
        </w:tc>
      </w:tr>
      <w:tr w:rsidR="00544C0E" w:rsidRPr="00544C0E" w:rsidTr="00544C0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</w:tr>
      <w:tr w:rsidR="00544C0E" w:rsidRPr="00544C0E" w:rsidTr="00544C0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C0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sz w:val="20"/>
                <w:szCs w:val="20"/>
              </w:rPr>
            </w:pPr>
            <w:r w:rsidRPr="00544C0E">
              <w:rPr>
                <w:rFonts w:ascii="Arial" w:hAnsi="Arial" w:cs="Arial"/>
                <w:sz w:val="20"/>
                <w:szCs w:val="20"/>
              </w:rPr>
              <w:t xml:space="preserve">tyto příspěvky se staly součástí sdílených daní a není sdělována přesná výše,                           </w:t>
            </w:r>
          </w:p>
        </w:tc>
      </w:tr>
      <w:tr w:rsidR="00544C0E" w:rsidRPr="00544C0E" w:rsidTr="00544C0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sz w:val="20"/>
                <w:szCs w:val="20"/>
              </w:rPr>
            </w:pPr>
            <w:r w:rsidRPr="00544C0E">
              <w:rPr>
                <w:rFonts w:ascii="Arial" w:hAnsi="Arial" w:cs="Arial"/>
                <w:sz w:val="20"/>
                <w:szCs w:val="20"/>
              </w:rPr>
              <w:t>kolik je vyhrazeno jako příspěvek na školství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0E" w:rsidRPr="00544C0E" w:rsidRDefault="00544C0E" w:rsidP="00544C0E">
            <w:pPr>
              <w:rPr>
                <w:sz w:val="20"/>
                <w:szCs w:val="20"/>
              </w:rPr>
            </w:pPr>
          </w:p>
        </w:tc>
      </w:tr>
    </w:tbl>
    <w:p w:rsidR="009340C6" w:rsidRDefault="009340C6">
      <w:pPr>
        <w:rPr>
          <w:rFonts w:ascii="Arial" w:hAnsi="Arial" w:cs="Arial"/>
          <w:sz w:val="22"/>
        </w:rPr>
      </w:pPr>
    </w:p>
    <w:p w:rsidR="009340C6" w:rsidRDefault="009340C6" w:rsidP="009340C6">
      <w:pPr>
        <w:jc w:val="both"/>
        <w:rPr>
          <w:rFonts w:ascii="Arial" w:hAnsi="Arial" w:cs="Arial"/>
          <w:sz w:val="22"/>
          <w:szCs w:val="22"/>
        </w:rPr>
      </w:pPr>
      <w:r w:rsidRPr="00F2044C">
        <w:rPr>
          <w:rFonts w:ascii="Arial" w:hAnsi="Arial" w:cs="Arial"/>
          <w:sz w:val="22"/>
          <w:szCs w:val="22"/>
        </w:rPr>
        <w:t>V následující tabulce předkládáme přehled přijatých dotací</w:t>
      </w:r>
      <w:r>
        <w:rPr>
          <w:rFonts w:ascii="Arial" w:hAnsi="Arial" w:cs="Arial"/>
          <w:sz w:val="22"/>
          <w:szCs w:val="22"/>
        </w:rPr>
        <w:t xml:space="preserve"> v členění od poskytovatele, o </w:t>
      </w:r>
      <w:r w:rsidRPr="00F2044C">
        <w:rPr>
          <w:rFonts w:ascii="Arial" w:hAnsi="Arial" w:cs="Arial"/>
          <w:sz w:val="22"/>
          <w:szCs w:val="22"/>
        </w:rPr>
        <w:t>které je upraven schválený rozpočet.</w:t>
      </w:r>
    </w:p>
    <w:p w:rsidR="009340C6" w:rsidRDefault="009340C6">
      <w:pPr>
        <w:rPr>
          <w:rFonts w:ascii="Arial" w:hAnsi="Arial"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740"/>
      </w:tblGrid>
      <w:tr w:rsidR="00B52E14" w:rsidRPr="00B52E14" w:rsidTr="00B52E14">
        <w:trPr>
          <w:trHeight w:val="39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center"/>
              <w:rPr>
                <w:rFonts w:ascii="Arial" w:hAnsi="Arial" w:cs="Arial"/>
                <w:b/>
                <w:bCs/>
              </w:rPr>
            </w:pPr>
            <w:r w:rsidRPr="00B52E14">
              <w:rPr>
                <w:rFonts w:ascii="Arial" w:hAnsi="Arial" w:cs="Arial"/>
                <w:b/>
                <w:bCs/>
              </w:rPr>
              <w:t>POSKYTOVATEL v roce 2019 - rozpočet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91A4B">
            <w:pPr>
              <w:jc w:val="right"/>
              <w:rPr>
                <w:rFonts w:ascii="Arial" w:hAnsi="Arial" w:cs="Arial"/>
                <w:b/>
                <w:bCs/>
              </w:rPr>
            </w:pPr>
            <w:r w:rsidRPr="00B52E14">
              <w:rPr>
                <w:rFonts w:ascii="Arial" w:hAnsi="Arial" w:cs="Arial"/>
                <w:b/>
                <w:bCs/>
              </w:rPr>
              <w:t> </w:t>
            </w:r>
            <w:r w:rsidR="00B91A4B" w:rsidRPr="00B91A4B">
              <w:rPr>
                <w:rFonts w:ascii="Arial" w:hAnsi="Arial" w:cs="Arial"/>
                <w:b/>
                <w:bCs/>
                <w:sz w:val="18"/>
              </w:rPr>
              <w:t>v Kč</w:t>
            </w:r>
          </w:p>
        </w:tc>
      </w:tr>
      <w:tr w:rsidR="00B52E14" w:rsidRPr="00B52E14" w:rsidTr="00B52E14">
        <w:trPr>
          <w:trHeight w:val="25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financí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69 903 510,00</w:t>
            </w:r>
          </w:p>
        </w:tc>
      </w:tr>
      <w:tr w:rsidR="00B52E14" w:rsidRPr="00B52E14" w:rsidTr="00B52E14">
        <w:trPr>
          <w:trHeight w:val="43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>příprava sčítání lidu, domů a bytů v roce 2021; volby do Evropského parlamentu; Souhrnný dotační vztah 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kultury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7 081 000,00</w:t>
            </w:r>
          </w:p>
        </w:tc>
      </w:tr>
      <w:tr w:rsidR="00B52E14" w:rsidRPr="00B52E14" w:rsidTr="00B52E14">
        <w:trPr>
          <w:trHeight w:val="13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lastRenderedPageBreak/>
              <w:t xml:space="preserve">Slezské divadlo Opava - projekt „Let‘ s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sing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Oratorio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Music!“, vlastní umělecká činnost 2017 -program státní podpory profesionálních divadel a stálých profesionálních symfonický</w:t>
            </w:r>
            <w:r>
              <w:rPr>
                <w:rFonts w:ascii="Arial" w:hAnsi="Arial" w:cs="Arial"/>
                <w:sz w:val="16"/>
                <w:szCs w:val="16"/>
              </w:rPr>
              <w:t xml:space="preserve">ch orchestrů a pěveckých sborů </w:t>
            </w:r>
            <w:r w:rsidRPr="00B52E14">
              <w:rPr>
                <w:rFonts w:ascii="Arial" w:hAnsi="Arial" w:cs="Arial"/>
                <w:sz w:val="16"/>
                <w:szCs w:val="16"/>
              </w:rPr>
              <w:t>Knihovna Petra Bezruče v Opavě - projekt „Vybavení knihovny RFID technologií a samoobslužným půjčováním – II. etapa - pobočka Kateřinky“, rozvíjení fondu zvukových knih pro nevidomé, zrakově postižené a jinak hendikepované uživatele, Pohádkový labyrint, Cestou  - necestou, podpora klubové a přednáškové činnosti;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práce a sociálních věcí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15 378 853,12</w:t>
            </w:r>
          </w:p>
        </w:tc>
      </w:tr>
      <w:tr w:rsidR="00B52E14" w:rsidRPr="00B52E14" w:rsidTr="00B52E14">
        <w:trPr>
          <w:trHeight w:val="5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sociálně právní ochrana dětí 2019; Rozvoj nástrojů komunikace s veřejností a optimalizace strategie veřejné dopravy - město Opava; výkon sociální práce (mimo OSPOD) 2019;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pro místní rozvoj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11 431 107,63</w:t>
            </w:r>
          </w:p>
        </w:tc>
      </w:tr>
      <w:tr w:rsidR="00B52E14" w:rsidRPr="00B52E14" w:rsidTr="00B52E14">
        <w:trPr>
          <w:trHeight w:val="48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ZŠ a MŠ Malé Hoštice - Modernizace vybavení integrované učebny počítačů a cizích jazyků v ZŠ Malé Hoštice; magistrát - Rozvoj komunikačních a informačních systémů města Opavy;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školství, mládeže a tělovýchovy ČR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20 786 364,00</w:t>
            </w:r>
          </w:p>
        </w:tc>
      </w:tr>
      <w:tr w:rsidR="00B52E14" w:rsidRPr="00B52E14" w:rsidTr="00B52E14">
        <w:trPr>
          <w:trHeight w:val="20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MŠ Na Pastvisku - Šablony 2019-2020 - Na Pastvisku; MŠ Krnovská - Vzdělávání se sluníčkem II (šablony II); MŠ Havlíčkova - projekt "Kašpárek a barvy kolem nás "(šablony II); MŠ Riegrova - projekt "Šablony II - Personální podpora a rozvojové aktivity pro děti v MŠ Riegrova Opava"; ZŠ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Englišova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- projekt " Moderní výuka" (Šablony II); ZŠ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Mařádkova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- projekt "Šablony II 2019"; ZŠ Otická - projekt:</w:t>
            </w:r>
            <w:r w:rsidR="006843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2E14">
              <w:rPr>
                <w:rFonts w:ascii="Arial" w:hAnsi="Arial" w:cs="Arial"/>
                <w:sz w:val="16"/>
                <w:szCs w:val="16"/>
              </w:rPr>
              <w:t xml:space="preserve">"Podpora vzdělávání II" (šablony II); ZŠ Edvarda Beneše - projekt "Podpora společného vzdělávání na ZŠ Opava, Edvarda Beneše 2 -II" (šablony II); ZŠ Vrchní - projekt "Šablony 2019"; ZŠ a MŠ Komárov - projekt "ZŠ a MŠ Opava - Komárov II - do roku 2021"; ZŠ a MŠ Vávrovice - projekt "Technologie přibližující poznání"; ZŠ </w:t>
            </w:r>
            <w:proofErr w:type="spellStart"/>
            <w:proofErr w:type="gramStart"/>
            <w:r w:rsidRPr="00B52E14">
              <w:rPr>
                <w:rFonts w:ascii="Arial" w:hAnsi="Arial" w:cs="Arial"/>
                <w:sz w:val="16"/>
                <w:szCs w:val="16"/>
              </w:rPr>
              <w:t>T.G.Masaryka</w:t>
            </w:r>
            <w:proofErr w:type="spellEnd"/>
            <w:proofErr w:type="gramEnd"/>
            <w:r w:rsidRPr="00B52E14">
              <w:rPr>
                <w:rFonts w:ascii="Arial" w:hAnsi="Arial" w:cs="Arial"/>
                <w:sz w:val="16"/>
                <w:szCs w:val="16"/>
              </w:rPr>
              <w:t xml:space="preserve"> - projekt "Škola pro všechny II" (šablony II); ZŠ Šrámkova - projekt "Rozvoj logického myšlení - ZŠ Šrámkova Opava"; Středisko volného času Opava - projekt "Šablony II pro SVČ Opava"; ZŠ Nový svět, Opava - projekt "Šablony II ZŠ Nový svět, Opava"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Ministerstvi</w:t>
            </w:r>
            <w:proofErr w:type="spellEnd"/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vnitra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845 836,00</w:t>
            </w:r>
          </w:p>
        </w:tc>
      </w:tr>
      <w:tr w:rsidR="00B52E14" w:rsidRPr="00B52E14" w:rsidTr="00B52E14">
        <w:trPr>
          <w:trHeight w:val="4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>zabezpečení akceschopnosti JSDH na rok 2019; projekt " Opava - Zefektivnění a rozšíření MKDS IV. Etapa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zemědělství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4 003 733,00</w:t>
            </w:r>
          </w:p>
        </w:tc>
      </w:tr>
      <w:tr w:rsidR="00B52E14" w:rsidRPr="00B52E14" w:rsidTr="00B52E14">
        <w:trPr>
          <w:trHeight w:val="6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Městské lesy Opava - výchova lesních porostů do 40 let skutečného věku porostu, umělá obnova sadbou- první, umělá obnova sadbou- opakovaná, přirozená obnova a umělá obnova síjí, vyklizování nebo přibližování dříví koněm, likvidace klestu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štěpkováním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nebo drcením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životního prostředí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61 235,67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Zelené hradby Opava -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Hillova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>, Nad stromkem, sad nad Velkou;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životního prostředí ERDF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25 752 642,90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Zlatníky a Milostovice - splašková kanalizace;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Vlaštovičky+Jarkovice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- splašková kanalizace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Moravskoslezský kraj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14 441 378,47</w:t>
            </w:r>
          </w:p>
        </w:tc>
      </w:tr>
      <w:tr w:rsidR="00B52E14" w:rsidRPr="00B52E14" w:rsidTr="00B52E14">
        <w:trPr>
          <w:trHeight w:val="46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6843BE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projekt RESOLVE; Středisko volného času - organizace okresních a krajských kol soutěží typu A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B vyhlášených MŠMT ČR pro rok 2019, projekt "Ukrajinský soubor jako host folklorních festivalů v Moravskoslezském kraji"; projekt "Budoucnosti 4.0 se nebojíme, šikovné ruce potřebné jsou v každé době";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Seniorcentrum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Opava - Senior Point Opava; projekt "Série vzdělávacích kurzů pro seniory v Opavě"; Podpora propagace sociální služby a úprava webových stránek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Seniorcentra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Opava, </w:t>
            </w:r>
            <w:proofErr w:type="spellStart"/>
            <w:proofErr w:type="gramStart"/>
            <w:r w:rsidRPr="00B52E14"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B52E14">
              <w:rPr>
                <w:rFonts w:ascii="Arial" w:hAnsi="Arial" w:cs="Arial"/>
                <w:sz w:val="16"/>
                <w:szCs w:val="16"/>
              </w:rPr>
              <w:t xml:space="preserve">; poskytování základních druhů a forem sociálních služeb; Městský dopravní podnik Opava - Dopravní obslužnost pro potřeby příměstských oblastí - Chvalíkovice, </w:t>
            </w:r>
            <w:proofErr w:type="spellStart"/>
            <w:proofErr w:type="gramStart"/>
            <w:r w:rsidRPr="00B52E14">
              <w:rPr>
                <w:rFonts w:ascii="Arial" w:hAnsi="Arial" w:cs="Arial"/>
                <w:sz w:val="16"/>
                <w:szCs w:val="16"/>
              </w:rPr>
              <w:t>Otice,Raduň</w:t>
            </w:r>
            <w:proofErr w:type="spellEnd"/>
            <w:proofErr w:type="gramEnd"/>
            <w:r w:rsidRPr="00B52E14">
              <w:rPr>
                <w:rFonts w:ascii="Arial" w:hAnsi="Arial" w:cs="Arial"/>
                <w:sz w:val="16"/>
                <w:szCs w:val="16"/>
              </w:rPr>
              <w:t>, Vršovice, Slavkov; kancelář primátora - festival "62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52E14">
              <w:rPr>
                <w:rFonts w:ascii="Arial" w:hAnsi="Arial" w:cs="Arial"/>
                <w:sz w:val="16"/>
                <w:szCs w:val="16"/>
              </w:rPr>
              <w:t>Bezručova Opava 2019";  festival "Další břehy" - 22. ročník; odbor životního prostředí - dar - Intenzifikace odděleného sběru a využívání vyt</w:t>
            </w:r>
            <w:r w:rsidR="006843BE">
              <w:rPr>
                <w:rFonts w:ascii="Arial" w:hAnsi="Arial" w:cs="Arial"/>
                <w:sz w:val="16"/>
                <w:szCs w:val="16"/>
              </w:rPr>
              <w:t>ř</w:t>
            </w:r>
            <w:r w:rsidRPr="00B52E14">
              <w:rPr>
                <w:rFonts w:ascii="Arial" w:hAnsi="Arial" w:cs="Arial"/>
                <w:sz w:val="16"/>
                <w:szCs w:val="16"/>
              </w:rPr>
              <w:t>íděných složek komunálního odpadu včetně obalové složky v MSK; kancelář tajemníka - posílení akceschopnosti JSDH; ZŠ Boženy Němcové - Podpora inkluze v Moravskoslezském kraji, projekt "Třídnické hodiny"; ZŠ Vrchní - Podpora inkluze v Moravskoslezském kraj, projekt "Odpojme se a zapojme se!"; ZŠ Šrámkova - Podpora inkluze v Moravskoslezském kraji, projekt "Voda pro život"; odbor rozvoje města a strategického plánování - Opava - osvětové kampaně 2019; Ozdravný pobyt pro děti MŠ Srdíčko, Opava; odbor životního prostředí - úhrada nákladů spojených s odstraněním následků závadného stavu d</w:t>
            </w:r>
            <w:r w:rsidR="006843BE">
              <w:rPr>
                <w:rFonts w:ascii="Arial" w:hAnsi="Arial" w:cs="Arial"/>
                <w:sz w:val="16"/>
                <w:szCs w:val="16"/>
              </w:rPr>
              <w:t>l</w:t>
            </w:r>
            <w:r w:rsidRPr="00B52E14">
              <w:rPr>
                <w:rFonts w:ascii="Arial" w:hAnsi="Arial" w:cs="Arial"/>
                <w:sz w:val="16"/>
                <w:szCs w:val="16"/>
              </w:rPr>
              <w:t xml:space="preserve">e § 42 odst. 4 zákona č. 254/2001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Sb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>, o vodách (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Skrochovice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); ZŠ a MŠ Malé Hoštice - projekt "Školní zahrada jako učebna pod širým nebem!"; Slezské divadlo v Opavě - projekt "Gabriela </w:t>
            </w:r>
            <w:proofErr w:type="spellStart"/>
            <w:r w:rsidRPr="00B52E14">
              <w:rPr>
                <w:rFonts w:ascii="Arial" w:hAnsi="Arial" w:cs="Arial"/>
                <w:sz w:val="16"/>
                <w:szCs w:val="16"/>
              </w:rPr>
              <w:t>Stimola</w:t>
            </w:r>
            <w:proofErr w:type="spellEnd"/>
            <w:r w:rsidRPr="00B52E14">
              <w:rPr>
                <w:rFonts w:ascii="Arial" w:hAnsi="Arial" w:cs="Arial"/>
                <w:sz w:val="16"/>
                <w:szCs w:val="16"/>
              </w:rPr>
              <w:t xml:space="preserve"> a Fabrizio Da Ros v Opavě", spolufinancování provozních nákladů v roce 2019 v rámci Podpory profesionálních divadel a profesionálního symfonického orchestru v MSK; Knihovna Petra Bezruče v Opavě - zabezpečení výkonu regionálních funkcí knihoven,</w:t>
            </w:r>
            <w:r w:rsidR="006843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2E14">
              <w:rPr>
                <w:rFonts w:ascii="Arial" w:hAnsi="Arial" w:cs="Arial"/>
                <w:sz w:val="16"/>
                <w:szCs w:val="16"/>
              </w:rPr>
              <w:t xml:space="preserve">Modernizace elektrické požární signalizace (EPS); Městské lesy Opava - podpora hospodaření v lesích v MSK - ochrana lesních porostů; Zařízení školního stravování Opava - Poskytování bezplatné stravy dětem ohrožených chudobou ve školách z prostředků OP PMP v MSK II, Poskytování bezplatné stravy dětem ohrožených chudobou ve školách z prostředků OP PMP v MSK III;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Státní fond životního prostředí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230 505,00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Územní studie krajiny správního obvodu ORP Opava;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Úřad práce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715 000,00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Vytvoření pracovních příležitostí v rámci VPP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Úřad vlády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>Terénní práce v Opavě 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Státní fond rozvoje bydlení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3 325 289,39</w:t>
            </w:r>
          </w:p>
        </w:tc>
      </w:tr>
      <w:tr w:rsidR="00B52E14" w:rsidRPr="00B52E14" w:rsidTr="00B52E14">
        <w:trPr>
          <w:trHeight w:val="4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>Územní studie krajiny správního obvodu ORP Opava; Regenerace sídliště Opava - Kylešovice, I. etapa (dětská hřiště 17. listopadu)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Ministerstvo obrany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310 000,00</w:t>
            </w:r>
          </w:p>
        </w:tc>
      </w:tr>
      <w:tr w:rsidR="00B52E14" w:rsidRPr="00B52E14" w:rsidTr="00B52E14">
        <w:trPr>
          <w:trHeight w:val="25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sz w:val="16"/>
                <w:szCs w:val="16"/>
              </w:rPr>
            </w:pPr>
            <w:r w:rsidRPr="00B52E14">
              <w:rPr>
                <w:rFonts w:ascii="Arial" w:hAnsi="Arial" w:cs="Arial"/>
                <w:sz w:val="16"/>
                <w:szCs w:val="16"/>
              </w:rPr>
              <w:t xml:space="preserve">Opava - oprava válečného hrobu obětí prusko-rakouské války r. 1866;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2E14" w:rsidRPr="00B52E14" w:rsidTr="00B52E14">
        <w:trPr>
          <w:trHeight w:val="2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E14">
              <w:rPr>
                <w:rFonts w:ascii="Arial" w:hAnsi="Arial" w:cs="Arial"/>
                <w:b/>
                <w:bCs/>
                <w:sz w:val="20"/>
                <w:szCs w:val="20"/>
              </w:rPr>
              <w:t>CELKEM rozpočet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14" w:rsidRPr="00B52E14" w:rsidRDefault="00B52E14" w:rsidP="00B52E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E14">
              <w:rPr>
                <w:rFonts w:ascii="Arial" w:hAnsi="Arial" w:cs="Arial"/>
                <w:b/>
                <w:bCs/>
                <w:sz w:val="20"/>
                <w:szCs w:val="20"/>
              </w:rPr>
              <w:t>174 566 455,18</w:t>
            </w:r>
          </w:p>
        </w:tc>
      </w:tr>
    </w:tbl>
    <w:p w:rsidR="00B52E14" w:rsidRDefault="00B52E14">
      <w:pPr>
        <w:rPr>
          <w:rFonts w:ascii="Arial" w:hAnsi="Arial" w:cs="Arial"/>
          <w:sz w:val="22"/>
        </w:rPr>
      </w:pPr>
    </w:p>
    <w:p w:rsidR="00394F95" w:rsidRDefault="00394F95" w:rsidP="00394F95">
      <w:pPr>
        <w:jc w:val="both"/>
        <w:rPr>
          <w:rFonts w:ascii="Arial" w:hAnsi="Arial" w:cs="Arial"/>
          <w:sz w:val="22"/>
          <w:szCs w:val="22"/>
        </w:rPr>
      </w:pPr>
      <w:r w:rsidRPr="00F2044C">
        <w:rPr>
          <w:rFonts w:ascii="Arial" w:hAnsi="Arial" w:cs="Arial"/>
          <w:sz w:val="22"/>
          <w:szCs w:val="22"/>
        </w:rPr>
        <w:t>V rámci položek 4xxx Přijaté dotace je ve výkazech uváděná položk</w:t>
      </w:r>
      <w:r>
        <w:rPr>
          <w:rFonts w:ascii="Arial" w:hAnsi="Arial" w:cs="Arial"/>
          <w:sz w:val="22"/>
          <w:szCs w:val="22"/>
        </w:rPr>
        <w:t>a 413x PŘEVODY Z VLASTNÍCH FONDŮ</w:t>
      </w:r>
      <w:r w:rsidRPr="00F2044C">
        <w:rPr>
          <w:rFonts w:ascii="Arial" w:hAnsi="Arial" w:cs="Arial"/>
          <w:sz w:val="22"/>
          <w:szCs w:val="22"/>
        </w:rPr>
        <w:t xml:space="preserve"> (objem </w:t>
      </w:r>
      <w:r>
        <w:rPr>
          <w:rFonts w:ascii="Arial" w:hAnsi="Arial" w:cs="Arial"/>
          <w:sz w:val="22"/>
          <w:szCs w:val="22"/>
        </w:rPr>
        <w:t xml:space="preserve">2.211.947.761,62 </w:t>
      </w:r>
      <w:r w:rsidRPr="00F2044C">
        <w:rPr>
          <w:rFonts w:ascii="Arial" w:hAnsi="Arial" w:cs="Arial"/>
          <w:sz w:val="22"/>
          <w:szCs w:val="22"/>
        </w:rPr>
        <w:t xml:space="preserve">Kč), která </w:t>
      </w:r>
      <w:r>
        <w:rPr>
          <w:rFonts w:ascii="Arial" w:hAnsi="Arial" w:cs="Arial"/>
          <w:sz w:val="22"/>
          <w:szCs w:val="22"/>
        </w:rPr>
        <w:t>je konsolidační položkou a </w:t>
      </w:r>
      <w:r w:rsidRPr="00F2044C">
        <w:rPr>
          <w:rFonts w:ascii="Arial" w:hAnsi="Arial" w:cs="Arial"/>
          <w:sz w:val="22"/>
          <w:szCs w:val="22"/>
        </w:rPr>
        <w:t xml:space="preserve">zahrnuje převod financí v rámci účtů SMO u bankovních ústavů. </w:t>
      </w:r>
      <w:r>
        <w:rPr>
          <w:rFonts w:ascii="Arial" w:hAnsi="Arial" w:cs="Arial"/>
          <w:sz w:val="22"/>
          <w:szCs w:val="22"/>
        </w:rPr>
        <w:t xml:space="preserve">K 31. 12. 2019 mělo </w:t>
      </w:r>
      <w:r w:rsidRPr="00F2044C">
        <w:rPr>
          <w:rFonts w:ascii="Arial" w:hAnsi="Arial" w:cs="Arial"/>
          <w:sz w:val="22"/>
          <w:szCs w:val="22"/>
        </w:rPr>
        <w:t>SMO</w:t>
      </w:r>
      <w:r>
        <w:rPr>
          <w:rFonts w:ascii="Arial" w:hAnsi="Arial" w:cs="Arial"/>
          <w:sz w:val="22"/>
          <w:szCs w:val="22"/>
        </w:rPr>
        <w:t xml:space="preserve"> </w:t>
      </w:r>
      <w:r w:rsidRPr="00F2044C">
        <w:rPr>
          <w:rFonts w:ascii="Arial" w:hAnsi="Arial" w:cs="Arial"/>
          <w:sz w:val="22"/>
          <w:szCs w:val="22"/>
        </w:rPr>
        <w:t>účty u těchto bankovních ústavů: Česká spořitelna</w:t>
      </w:r>
      <w:r>
        <w:rPr>
          <w:rFonts w:ascii="Arial" w:hAnsi="Arial" w:cs="Arial"/>
          <w:sz w:val="22"/>
          <w:szCs w:val="22"/>
        </w:rPr>
        <w:t xml:space="preserve"> a.s.</w:t>
      </w:r>
      <w:r w:rsidRPr="00F2044C">
        <w:rPr>
          <w:rFonts w:ascii="Arial" w:hAnsi="Arial" w:cs="Arial"/>
          <w:sz w:val="22"/>
          <w:szCs w:val="22"/>
        </w:rPr>
        <w:t>, Komerční banka</w:t>
      </w:r>
      <w:r>
        <w:rPr>
          <w:rFonts w:ascii="Arial" w:hAnsi="Arial" w:cs="Arial"/>
          <w:sz w:val="22"/>
          <w:szCs w:val="22"/>
        </w:rPr>
        <w:t xml:space="preserve"> a.s.</w:t>
      </w:r>
      <w:r w:rsidRPr="00F2044C">
        <w:rPr>
          <w:rFonts w:ascii="Arial" w:hAnsi="Arial" w:cs="Arial"/>
          <w:sz w:val="22"/>
          <w:szCs w:val="22"/>
        </w:rPr>
        <w:t>, Československá obchodní banka</w:t>
      </w:r>
      <w:r>
        <w:rPr>
          <w:rFonts w:ascii="Arial" w:hAnsi="Arial" w:cs="Arial"/>
          <w:sz w:val="22"/>
          <w:szCs w:val="22"/>
        </w:rPr>
        <w:t xml:space="preserve"> a.s.</w:t>
      </w:r>
      <w:r w:rsidRPr="00F2044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044C">
        <w:rPr>
          <w:rFonts w:ascii="Arial" w:hAnsi="Arial" w:cs="Arial"/>
          <w:sz w:val="22"/>
          <w:szCs w:val="22"/>
        </w:rPr>
        <w:t>RaiffeisenBank</w:t>
      </w:r>
      <w:proofErr w:type="spellEnd"/>
      <w:r>
        <w:rPr>
          <w:rFonts w:ascii="Arial" w:hAnsi="Arial" w:cs="Arial"/>
          <w:sz w:val="22"/>
          <w:szCs w:val="22"/>
        </w:rPr>
        <w:t xml:space="preserve"> a.s. a Česká národní banka</w:t>
      </w:r>
      <w:r w:rsidRPr="00F2044C">
        <w:rPr>
          <w:rFonts w:ascii="Arial" w:hAnsi="Arial" w:cs="Arial"/>
          <w:sz w:val="22"/>
          <w:szCs w:val="22"/>
        </w:rPr>
        <w:t>.</w:t>
      </w:r>
    </w:p>
    <w:p w:rsidR="00394F95" w:rsidRDefault="00394F95">
      <w:pPr>
        <w:rPr>
          <w:rFonts w:ascii="Arial" w:hAnsi="Arial" w:cs="Arial"/>
          <w:sz w:val="22"/>
        </w:rPr>
      </w:pPr>
    </w:p>
    <w:p w:rsidR="003479D2" w:rsidRDefault="003479D2">
      <w:pPr>
        <w:rPr>
          <w:rFonts w:ascii="Arial" w:hAnsi="Arial" w:cs="Arial"/>
          <w:sz w:val="22"/>
        </w:rPr>
      </w:pPr>
    </w:p>
    <w:p w:rsidR="003479D2" w:rsidRDefault="003479D2" w:rsidP="003479D2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  <w:bookmarkStart w:id="7" w:name="_Toc513714454"/>
      <w:r>
        <w:rPr>
          <w:rFonts w:ascii="Arial" w:hAnsi="Arial" w:cs="Arial"/>
          <w:b/>
          <w:i/>
          <w:sz w:val="28"/>
          <w:szCs w:val="28"/>
        </w:rPr>
        <w:t>1</w:t>
      </w:r>
      <w:r w:rsidRPr="00CA643F">
        <w:rPr>
          <w:rFonts w:ascii="Arial" w:hAnsi="Arial" w:cs="Arial"/>
          <w:b/>
          <w:i/>
          <w:sz w:val="28"/>
          <w:szCs w:val="28"/>
        </w:rPr>
        <w:t>.1.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CA643F">
        <w:rPr>
          <w:rFonts w:ascii="Arial" w:hAnsi="Arial" w:cs="Arial"/>
          <w:b/>
          <w:i/>
          <w:sz w:val="28"/>
          <w:szCs w:val="28"/>
        </w:rPr>
        <w:t xml:space="preserve"> PLNĚNÍ ROZPOČTU </w:t>
      </w:r>
      <w:r>
        <w:rPr>
          <w:rFonts w:ascii="Arial" w:hAnsi="Arial" w:cs="Arial"/>
          <w:b/>
          <w:i/>
          <w:sz w:val="28"/>
          <w:szCs w:val="28"/>
        </w:rPr>
        <w:t>VÝDAJŮ</w:t>
      </w:r>
      <w:bookmarkEnd w:id="7"/>
    </w:p>
    <w:p w:rsidR="003479D2" w:rsidRDefault="003479D2" w:rsidP="00347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Celkové výdaje města Opava byly rozpočtovány ve schváleném rozpočtu na rok 2019 ve výši 1.069.791.200,00 Kč. Upravený rozpočet výdajů dosáhl k 31. 12. 2019 </w:t>
      </w:r>
      <w:r w:rsidR="00F12463">
        <w:rPr>
          <w:rFonts w:ascii="Arial" w:hAnsi="Arial" w:cs="Arial"/>
          <w:sz w:val="22"/>
          <w:szCs w:val="22"/>
        </w:rPr>
        <w:t>objemu</w:t>
      </w:r>
      <w:r>
        <w:rPr>
          <w:rFonts w:ascii="Arial" w:hAnsi="Arial" w:cs="Arial"/>
          <w:sz w:val="22"/>
          <w:szCs w:val="22"/>
        </w:rPr>
        <w:t xml:space="preserve"> 1.750.712.627,53 Kč, z toho běžn</w:t>
      </w:r>
      <w:r w:rsidR="00EC6C0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výdaj</w:t>
      </w:r>
      <w:r w:rsidR="00EC6C0D">
        <w:rPr>
          <w:rFonts w:ascii="Arial" w:hAnsi="Arial" w:cs="Arial"/>
          <w:sz w:val="22"/>
          <w:szCs w:val="22"/>
        </w:rPr>
        <w:t>e byly plánovány ve výši</w:t>
      </w:r>
      <w:r>
        <w:rPr>
          <w:rFonts w:ascii="Arial" w:hAnsi="Arial" w:cs="Arial"/>
          <w:sz w:val="22"/>
          <w:szCs w:val="22"/>
        </w:rPr>
        <w:t xml:space="preserve"> 1.153.534.490,80</w:t>
      </w:r>
      <w:r w:rsidR="00EC6C0D">
        <w:rPr>
          <w:rFonts w:ascii="Arial" w:hAnsi="Arial" w:cs="Arial"/>
          <w:sz w:val="22"/>
          <w:szCs w:val="22"/>
        </w:rPr>
        <w:t xml:space="preserve"> Kč a </w:t>
      </w:r>
      <w:r>
        <w:rPr>
          <w:rFonts w:ascii="Arial" w:hAnsi="Arial" w:cs="Arial"/>
          <w:sz w:val="22"/>
          <w:szCs w:val="22"/>
        </w:rPr>
        <w:t>kapitálov</w:t>
      </w:r>
      <w:r w:rsidR="00207807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výdaj</w:t>
      </w:r>
      <w:r w:rsidR="00207807">
        <w:rPr>
          <w:rFonts w:ascii="Arial" w:hAnsi="Arial" w:cs="Arial"/>
          <w:sz w:val="22"/>
          <w:szCs w:val="22"/>
        </w:rPr>
        <w:t>e ve výši</w:t>
      </w:r>
      <w:r>
        <w:rPr>
          <w:rFonts w:ascii="Arial" w:hAnsi="Arial" w:cs="Arial"/>
          <w:sz w:val="22"/>
          <w:szCs w:val="22"/>
        </w:rPr>
        <w:t xml:space="preserve"> 597.178.136,73 Kč. Skutečné čerpání výdajů k 31. 12. 2019 dosáhlo výše 1.381.291.549,75 Kč </w:t>
      </w:r>
      <w:r w:rsidRPr="001D1AE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</w:t>
      </w:r>
      <w:r w:rsidRPr="001D1AEB">
        <w:rPr>
          <w:rFonts w:ascii="Arial" w:hAnsi="Arial" w:cs="Arial"/>
          <w:sz w:val="22"/>
          <w:szCs w:val="22"/>
        </w:rPr>
        <w:t xml:space="preserve"> konsolidac</w:t>
      </w:r>
      <w:r>
        <w:rPr>
          <w:rFonts w:ascii="Arial" w:hAnsi="Arial" w:cs="Arial"/>
          <w:sz w:val="22"/>
          <w:szCs w:val="22"/>
        </w:rPr>
        <w:t>i</w:t>
      </w:r>
      <w:r w:rsidRPr="001D1AEB">
        <w:rPr>
          <w:rFonts w:ascii="Arial" w:hAnsi="Arial" w:cs="Arial"/>
          <w:sz w:val="22"/>
          <w:szCs w:val="22"/>
        </w:rPr>
        <w:t xml:space="preserve">), což představuje plnění na </w:t>
      </w:r>
      <w:r>
        <w:rPr>
          <w:rFonts w:ascii="Arial" w:hAnsi="Arial" w:cs="Arial"/>
          <w:sz w:val="22"/>
          <w:szCs w:val="22"/>
        </w:rPr>
        <w:t>7</w:t>
      </w:r>
      <w:r w:rsidR="0061255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</w:t>
      </w:r>
      <w:r w:rsidR="00612558">
        <w:rPr>
          <w:rFonts w:ascii="Arial" w:hAnsi="Arial" w:cs="Arial"/>
          <w:sz w:val="22"/>
          <w:szCs w:val="22"/>
        </w:rPr>
        <w:t>90</w:t>
      </w:r>
      <w:r w:rsidRPr="001D1AEB">
        <w:rPr>
          <w:rFonts w:ascii="Arial" w:hAnsi="Arial" w:cs="Arial"/>
          <w:sz w:val="22"/>
          <w:szCs w:val="22"/>
        </w:rPr>
        <w:t>% upraveného rozpočtu.</w:t>
      </w:r>
      <w:r>
        <w:rPr>
          <w:rFonts w:ascii="Arial" w:hAnsi="Arial" w:cs="Arial"/>
          <w:sz w:val="22"/>
          <w:szCs w:val="22"/>
        </w:rPr>
        <w:t xml:space="preserve"> Běžné výdaje </w:t>
      </w:r>
      <w:r w:rsidRPr="001D1AEB">
        <w:rPr>
          <w:rFonts w:ascii="Arial" w:hAnsi="Arial" w:cs="Arial"/>
          <w:sz w:val="22"/>
          <w:szCs w:val="22"/>
        </w:rPr>
        <w:t xml:space="preserve">byly čerpány na </w:t>
      </w:r>
      <w:r w:rsidR="00612558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>,</w:t>
      </w:r>
      <w:r w:rsidR="0061255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</w:t>
      </w:r>
      <w:r w:rsidRPr="001D1AEB">
        <w:rPr>
          <w:rFonts w:ascii="Arial" w:hAnsi="Arial" w:cs="Arial"/>
          <w:sz w:val="22"/>
          <w:szCs w:val="22"/>
        </w:rPr>
        <w:t xml:space="preserve">% a kapitálové výdaje na </w:t>
      </w:r>
      <w:r w:rsidR="00612558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,</w:t>
      </w:r>
      <w:r w:rsidR="00612558">
        <w:rPr>
          <w:rFonts w:ascii="Arial" w:hAnsi="Arial" w:cs="Arial"/>
          <w:sz w:val="22"/>
          <w:szCs w:val="22"/>
        </w:rPr>
        <w:t>08</w:t>
      </w:r>
      <w:r w:rsidRPr="001D1AEB">
        <w:rPr>
          <w:rFonts w:ascii="Arial" w:hAnsi="Arial" w:cs="Arial"/>
          <w:sz w:val="22"/>
          <w:szCs w:val="22"/>
        </w:rPr>
        <w:t>% upraveného rozpočtu.</w:t>
      </w:r>
      <w:r>
        <w:rPr>
          <w:rFonts w:ascii="Arial" w:hAnsi="Arial" w:cs="Arial"/>
          <w:sz w:val="22"/>
          <w:szCs w:val="22"/>
        </w:rPr>
        <w:t xml:space="preserve">  Z</w:t>
      </w:r>
      <w:r w:rsidR="00B40C3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celkové</w:t>
      </w:r>
      <w:r w:rsidR="00B40C3E">
        <w:rPr>
          <w:rFonts w:ascii="Arial" w:hAnsi="Arial" w:cs="Arial"/>
          <w:sz w:val="22"/>
          <w:szCs w:val="22"/>
        </w:rPr>
        <w:t>ho upraveného rozpočtu j</w:t>
      </w:r>
      <w:r w:rsidR="008569D6">
        <w:rPr>
          <w:rFonts w:ascii="Arial" w:hAnsi="Arial" w:cs="Arial"/>
          <w:sz w:val="22"/>
          <w:szCs w:val="22"/>
        </w:rPr>
        <w:t>sou</w:t>
      </w:r>
      <w:r w:rsidR="00B40C3E">
        <w:rPr>
          <w:rFonts w:ascii="Arial" w:hAnsi="Arial" w:cs="Arial"/>
          <w:sz w:val="22"/>
          <w:szCs w:val="22"/>
        </w:rPr>
        <w:t xml:space="preserve"> však do roku 2020</w:t>
      </w:r>
      <w:r>
        <w:rPr>
          <w:rFonts w:ascii="Arial" w:hAnsi="Arial" w:cs="Arial"/>
          <w:sz w:val="22"/>
          <w:szCs w:val="22"/>
        </w:rPr>
        <w:t xml:space="preserve"> v rámci finančního vypořádání převáděn</w:t>
      </w:r>
      <w:r w:rsidR="008569D6">
        <w:rPr>
          <w:rFonts w:ascii="Arial" w:hAnsi="Arial" w:cs="Arial"/>
          <w:sz w:val="22"/>
          <w:szCs w:val="22"/>
        </w:rPr>
        <w:t>y finanční prostředky ve výši</w:t>
      </w:r>
      <w:r>
        <w:rPr>
          <w:rFonts w:ascii="Arial" w:hAnsi="Arial" w:cs="Arial"/>
          <w:sz w:val="22"/>
          <w:szCs w:val="22"/>
        </w:rPr>
        <w:t xml:space="preserve"> </w:t>
      </w:r>
      <w:r w:rsidR="00B40C3E">
        <w:rPr>
          <w:rFonts w:ascii="Arial" w:hAnsi="Arial" w:cs="Arial"/>
          <w:sz w:val="22"/>
          <w:szCs w:val="22"/>
        </w:rPr>
        <w:t>226.069.539,96</w:t>
      </w:r>
      <w:r>
        <w:rPr>
          <w:rFonts w:ascii="Arial" w:hAnsi="Arial" w:cs="Arial"/>
          <w:sz w:val="22"/>
          <w:szCs w:val="22"/>
        </w:rPr>
        <w:t xml:space="preserve"> Kč</w:t>
      </w:r>
      <w:r w:rsidR="00B40C3E">
        <w:rPr>
          <w:rFonts w:ascii="Arial" w:hAnsi="Arial" w:cs="Arial"/>
          <w:sz w:val="22"/>
          <w:szCs w:val="22"/>
        </w:rPr>
        <w:t>, které byly již smluvně zablokovány, ale do konce roku 2019 nebyly uhrazeny</w:t>
      </w:r>
      <w:r w:rsidR="008569D6">
        <w:rPr>
          <w:rFonts w:ascii="Arial" w:hAnsi="Arial" w:cs="Arial"/>
          <w:sz w:val="22"/>
          <w:szCs w:val="22"/>
        </w:rPr>
        <w:t>. Pokud by výdaje z tohoto finančního vypořádání</w:t>
      </w:r>
      <w:r>
        <w:rPr>
          <w:rFonts w:ascii="Arial" w:hAnsi="Arial" w:cs="Arial"/>
          <w:sz w:val="22"/>
          <w:szCs w:val="22"/>
        </w:rPr>
        <w:t xml:space="preserve"> byly uskutečněny v roce 201</w:t>
      </w:r>
      <w:r w:rsidR="00B40C3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, dosáhly by výdaje skutečnosti </w:t>
      </w:r>
      <w:r w:rsidR="00B40C3E">
        <w:rPr>
          <w:rFonts w:ascii="Arial" w:hAnsi="Arial" w:cs="Arial"/>
          <w:sz w:val="22"/>
          <w:szCs w:val="22"/>
        </w:rPr>
        <w:t>1.607.361.089,71</w:t>
      </w:r>
      <w:r w:rsidR="008569D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Kč, což by představovalo plnění </w:t>
      </w:r>
      <w:r w:rsidR="00B40C3E">
        <w:rPr>
          <w:rFonts w:ascii="Arial" w:hAnsi="Arial" w:cs="Arial"/>
          <w:sz w:val="22"/>
          <w:szCs w:val="22"/>
        </w:rPr>
        <w:t>91,81</w:t>
      </w:r>
      <w:r>
        <w:rPr>
          <w:rFonts w:ascii="Arial" w:hAnsi="Arial" w:cs="Arial"/>
          <w:sz w:val="22"/>
          <w:szCs w:val="22"/>
        </w:rPr>
        <w:t>% upraveného rozpočtu.</w:t>
      </w:r>
    </w:p>
    <w:p w:rsidR="003479D2" w:rsidRDefault="003479D2">
      <w:pPr>
        <w:rPr>
          <w:rFonts w:ascii="Arial" w:hAnsi="Arial" w:cs="Arial"/>
          <w:sz w:val="22"/>
        </w:rPr>
      </w:pPr>
    </w:p>
    <w:p w:rsidR="00806D9F" w:rsidRDefault="00806D9F" w:rsidP="00806D9F">
      <w:pPr>
        <w:jc w:val="both"/>
        <w:rPr>
          <w:rFonts w:ascii="Arial" w:hAnsi="Arial" w:cs="Arial"/>
          <w:sz w:val="22"/>
          <w:szCs w:val="22"/>
        </w:rPr>
      </w:pPr>
      <w:r w:rsidRPr="001D1AEB">
        <w:rPr>
          <w:rFonts w:ascii="Arial" w:hAnsi="Arial" w:cs="Arial"/>
          <w:sz w:val="22"/>
          <w:szCs w:val="22"/>
        </w:rPr>
        <w:t xml:space="preserve">Plnění výdajů </w:t>
      </w:r>
      <w:r>
        <w:rPr>
          <w:rFonts w:ascii="Arial" w:hAnsi="Arial" w:cs="Arial"/>
          <w:sz w:val="22"/>
          <w:szCs w:val="22"/>
        </w:rPr>
        <w:t xml:space="preserve">2019 </w:t>
      </w:r>
      <w:r w:rsidRPr="001D1AEB">
        <w:rPr>
          <w:rFonts w:ascii="Arial" w:hAnsi="Arial" w:cs="Arial"/>
          <w:sz w:val="22"/>
          <w:szCs w:val="22"/>
        </w:rPr>
        <w:t xml:space="preserve">v Kč </w:t>
      </w:r>
      <w:r>
        <w:rPr>
          <w:rFonts w:ascii="Arial" w:hAnsi="Arial" w:cs="Arial"/>
          <w:sz w:val="22"/>
          <w:szCs w:val="22"/>
        </w:rPr>
        <w:t>po</w:t>
      </w:r>
      <w:r w:rsidRPr="001D1AEB">
        <w:rPr>
          <w:rFonts w:ascii="Arial" w:hAnsi="Arial" w:cs="Arial"/>
          <w:sz w:val="22"/>
          <w:szCs w:val="22"/>
        </w:rPr>
        <w:t xml:space="preserve"> konsolidac</w:t>
      </w:r>
      <w:r>
        <w:rPr>
          <w:rFonts w:ascii="Arial" w:hAnsi="Arial" w:cs="Arial"/>
          <w:sz w:val="22"/>
          <w:szCs w:val="22"/>
        </w:rPr>
        <w:t>i</w:t>
      </w:r>
      <w:r w:rsidRPr="001D1AEB">
        <w:rPr>
          <w:rFonts w:ascii="Arial" w:hAnsi="Arial" w:cs="Arial"/>
          <w:sz w:val="22"/>
          <w:szCs w:val="22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1823"/>
        <w:gridCol w:w="1012"/>
      </w:tblGrid>
      <w:tr w:rsidR="00806D9F" w:rsidRPr="00806D9F" w:rsidTr="00806D9F">
        <w:trPr>
          <w:trHeight w:val="8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schválený (RS) 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upravený (RU) 2019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RU</w:t>
            </w:r>
            <w:proofErr w:type="gramEnd"/>
            <w:r w:rsidRPr="00806D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</w:tr>
      <w:tr w:rsidR="00806D9F" w:rsidRPr="00806D9F" w:rsidTr="00806D9F">
        <w:trPr>
          <w:trHeight w:val="2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běžné výdaje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974 324 800,00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1 153 534 490,80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1 052 336 462,84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91,23%</w:t>
            </w:r>
          </w:p>
        </w:tc>
      </w:tr>
      <w:tr w:rsidR="00806D9F" w:rsidRPr="00806D9F" w:rsidTr="00806D9F">
        <w:trPr>
          <w:trHeight w:val="2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9F" w:rsidRPr="00806D9F" w:rsidRDefault="00806D9F" w:rsidP="00806D9F">
            <w:pPr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kapitálové výdaje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95 466 400,00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597 178 136,73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328 955 086,91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06D9F">
              <w:rPr>
                <w:rFonts w:ascii="Arial" w:hAnsi="Arial" w:cs="Arial"/>
                <w:sz w:val="18"/>
                <w:szCs w:val="16"/>
              </w:rPr>
              <w:t>55,08%</w:t>
            </w:r>
          </w:p>
        </w:tc>
      </w:tr>
      <w:tr w:rsidR="00806D9F" w:rsidRPr="00806D9F" w:rsidTr="00806D9F">
        <w:trPr>
          <w:trHeight w:val="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sz w:val="20"/>
                <w:szCs w:val="20"/>
              </w:rPr>
              <w:t>1 069 791 200,00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sz w:val="20"/>
                <w:szCs w:val="20"/>
              </w:rPr>
              <w:t>1 750 712 627,53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sz w:val="20"/>
                <w:szCs w:val="20"/>
              </w:rPr>
              <w:t>1 381 291 549,75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9F" w:rsidRPr="00806D9F" w:rsidRDefault="00806D9F" w:rsidP="00806D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D9F">
              <w:rPr>
                <w:rFonts w:ascii="Arial" w:hAnsi="Arial" w:cs="Arial"/>
                <w:b/>
                <w:bCs/>
                <w:sz w:val="20"/>
                <w:szCs w:val="20"/>
              </w:rPr>
              <w:t>78,90%</w:t>
            </w:r>
          </w:p>
        </w:tc>
      </w:tr>
    </w:tbl>
    <w:p w:rsidR="00806D9F" w:rsidRDefault="00806D9F">
      <w:pPr>
        <w:rPr>
          <w:rFonts w:ascii="Arial" w:hAnsi="Arial" w:cs="Arial"/>
          <w:sz w:val="22"/>
        </w:rPr>
      </w:pPr>
    </w:p>
    <w:p w:rsidR="00806D9F" w:rsidRDefault="00806D9F">
      <w:pPr>
        <w:rPr>
          <w:rFonts w:ascii="Arial" w:hAnsi="Arial" w:cs="Arial"/>
          <w:sz w:val="22"/>
        </w:rPr>
      </w:pPr>
    </w:p>
    <w:p w:rsidR="00806D9F" w:rsidRDefault="00F1246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0EC08A40">
            <wp:extent cx="5784850" cy="2700655"/>
            <wp:effectExtent l="0" t="0" r="635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385" w:rsidRDefault="006D08FF" w:rsidP="006D08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Podrobné plnění výdajů rozpočtu obsahuje příloha </w:t>
      </w:r>
      <w:hyperlink r:id="rId27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>A_10 - čerpání výdajů dle ORJ</w:t>
        </w:r>
      </w:hyperlink>
      <w:r w:rsidRPr="00A804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kde je uvedeno čerpání po jednotlivých odborech MMO. </w:t>
      </w:r>
    </w:p>
    <w:p w:rsidR="00B26385" w:rsidRDefault="006D08FF" w:rsidP="006D08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hyperlink r:id="rId28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>A_11 - souhrnné čerpání výdajů dle druhového třídění (POL)</w:t>
        </w:r>
      </w:hyperlink>
      <w:r>
        <w:rPr>
          <w:rFonts w:ascii="Arial" w:hAnsi="Arial" w:cs="Arial"/>
          <w:sz w:val="22"/>
          <w:szCs w:val="22"/>
        </w:rPr>
        <w:t xml:space="preserve"> obsahuje podrobnější analytické členění operací, které zdůrazňují jejich ekonomicko-právní charakter. Toto druhové členění váže úzce na účetní specifikaci. </w:t>
      </w:r>
    </w:p>
    <w:p w:rsidR="00B26385" w:rsidRDefault="006D08FF" w:rsidP="006D08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EA7F87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zde v </w:t>
      </w:r>
      <w:r w:rsidR="00EA7F87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</w:t>
      </w:r>
      <w:hyperlink r:id="rId29" w:history="1">
        <w:r w:rsidRPr="00EB0B17">
          <w:rPr>
            <w:rStyle w:val="Hypertextovodkaz"/>
            <w:rFonts w:ascii="Arial" w:hAnsi="Arial" w:cs="Arial"/>
            <w:sz w:val="22"/>
            <w:szCs w:val="22"/>
          </w:rPr>
          <w:t xml:space="preserve">A_13 </w:t>
        </w:r>
        <w:r w:rsidR="00EA7F87" w:rsidRPr="00EB0B17">
          <w:rPr>
            <w:rStyle w:val="Hypertextovodkaz"/>
            <w:rFonts w:ascii="Arial" w:hAnsi="Arial" w:cs="Arial"/>
            <w:sz w:val="22"/>
            <w:szCs w:val="22"/>
          </w:rPr>
          <w:t xml:space="preserve">- </w:t>
        </w:r>
        <w:r w:rsidRPr="00EB0B17">
          <w:rPr>
            <w:rStyle w:val="Hypertextovodkaz"/>
            <w:rFonts w:ascii="Arial" w:hAnsi="Arial" w:cs="Arial"/>
            <w:sz w:val="22"/>
            <w:szCs w:val="22"/>
          </w:rPr>
          <w:t>souhrnné čerpání výdajů dle akcí (ORG</w:t>
        </w:r>
      </w:hyperlink>
      <w:r w:rsidR="00EA7F87">
        <w:rPr>
          <w:rFonts w:ascii="Arial" w:hAnsi="Arial" w:cs="Arial"/>
          <w:sz w:val="22"/>
          <w:szCs w:val="22"/>
        </w:rPr>
        <w:t xml:space="preserve">) uvedeno čerpání výdajů dle jednotlivých akcí. </w:t>
      </w:r>
    </w:p>
    <w:p w:rsidR="006D08FF" w:rsidRDefault="00EA7F87" w:rsidP="006D08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Rovněž předkládáme podrobný </w:t>
      </w:r>
      <w:r w:rsidR="006D08FF">
        <w:rPr>
          <w:rFonts w:ascii="Arial" w:hAnsi="Arial" w:cs="Arial"/>
          <w:sz w:val="22"/>
          <w:szCs w:val="22"/>
        </w:rPr>
        <w:t>přehled plnění výdajů rozpočtu dle oddílu a paragrafu, tzv. odvětvové třídění</w:t>
      </w:r>
      <w:r>
        <w:rPr>
          <w:rFonts w:ascii="Arial" w:hAnsi="Arial" w:cs="Arial"/>
          <w:sz w:val="22"/>
          <w:szCs w:val="22"/>
        </w:rPr>
        <w:t xml:space="preserve">. Toto členění obsahuje příloha </w:t>
      </w:r>
      <w:r w:rsidR="006D08FF">
        <w:rPr>
          <w:rFonts w:ascii="Arial" w:hAnsi="Arial" w:cs="Arial"/>
          <w:sz w:val="22"/>
          <w:szCs w:val="22"/>
        </w:rPr>
        <w:t xml:space="preserve"> </w:t>
      </w:r>
      <w:hyperlink r:id="rId30" w:history="1">
        <w:r w:rsidR="006D08FF" w:rsidRPr="002A17AE">
          <w:rPr>
            <w:rStyle w:val="Hypertextovodkaz"/>
            <w:rFonts w:ascii="Arial" w:hAnsi="Arial" w:cs="Arial"/>
            <w:sz w:val="22"/>
            <w:szCs w:val="22"/>
          </w:rPr>
          <w:t>A_12</w:t>
        </w:r>
        <w:r w:rsidRPr="002A17AE">
          <w:rPr>
            <w:rStyle w:val="Hypertextovodkaz"/>
            <w:rFonts w:ascii="Arial" w:hAnsi="Arial" w:cs="Arial"/>
            <w:sz w:val="22"/>
            <w:szCs w:val="22"/>
          </w:rPr>
          <w:t xml:space="preserve"> - </w:t>
        </w:r>
        <w:r w:rsidR="006D08FF" w:rsidRPr="002A17AE">
          <w:rPr>
            <w:rStyle w:val="Hypertextovodkaz"/>
            <w:rFonts w:ascii="Arial" w:hAnsi="Arial" w:cs="Arial"/>
            <w:sz w:val="22"/>
            <w:szCs w:val="22"/>
          </w:rPr>
          <w:t>souhrnné čerpání výdajů dle odvětvového třídění (ODPA)</w:t>
        </w:r>
      </w:hyperlink>
      <w:r w:rsidR="006D08FF" w:rsidRPr="00A804BD">
        <w:rPr>
          <w:rFonts w:ascii="Arial" w:hAnsi="Arial" w:cs="Arial"/>
          <w:sz w:val="22"/>
          <w:szCs w:val="22"/>
        </w:rPr>
        <w:t>.</w:t>
      </w:r>
      <w:r w:rsidR="006D08FF">
        <w:rPr>
          <w:rFonts w:ascii="Arial" w:hAnsi="Arial" w:cs="Arial"/>
          <w:sz w:val="22"/>
          <w:szCs w:val="22"/>
        </w:rPr>
        <w:t xml:space="preserve"> Toto členění odpovídá na otázku, do jakého odvětví byly výdaje směřovány. </w:t>
      </w:r>
      <w:r>
        <w:rPr>
          <w:rFonts w:ascii="Arial" w:hAnsi="Arial" w:cs="Arial"/>
          <w:sz w:val="22"/>
          <w:szCs w:val="22"/>
        </w:rPr>
        <w:t>Pro zjednodušení níže uvádíme přehled</w:t>
      </w:r>
      <w:r w:rsidR="00B26385">
        <w:rPr>
          <w:rFonts w:ascii="Arial" w:hAnsi="Arial" w:cs="Arial"/>
          <w:sz w:val="22"/>
          <w:szCs w:val="22"/>
        </w:rPr>
        <w:t xml:space="preserve"> výdajů</w:t>
      </w:r>
      <w:r>
        <w:rPr>
          <w:rFonts w:ascii="Arial" w:hAnsi="Arial" w:cs="Arial"/>
          <w:sz w:val="22"/>
          <w:szCs w:val="22"/>
        </w:rPr>
        <w:t xml:space="preserve"> dle oddílu</w:t>
      </w:r>
      <w:r w:rsidR="00B26385">
        <w:rPr>
          <w:rFonts w:ascii="Arial" w:hAnsi="Arial" w:cs="Arial"/>
          <w:sz w:val="22"/>
          <w:szCs w:val="22"/>
        </w:rPr>
        <w:t>.</w:t>
      </w:r>
    </w:p>
    <w:p w:rsidR="00B26385" w:rsidRDefault="00B26385" w:rsidP="006D08FF">
      <w:pPr>
        <w:jc w:val="both"/>
        <w:rPr>
          <w:rFonts w:ascii="Arial" w:hAnsi="Arial" w:cs="Arial"/>
          <w:sz w:val="22"/>
          <w:szCs w:val="22"/>
        </w:rPr>
      </w:pPr>
    </w:p>
    <w:p w:rsidR="00B26385" w:rsidRDefault="00B26385" w:rsidP="00B26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čerpání výdajů dle oddílu: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86"/>
        <w:gridCol w:w="1560"/>
        <w:gridCol w:w="1417"/>
        <w:gridCol w:w="1418"/>
        <w:gridCol w:w="850"/>
      </w:tblGrid>
      <w:tr w:rsidR="006B5AC8" w:rsidRPr="006B5AC8" w:rsidTr="006B5AC8">
        <w:trPr>
          <w:trHeight w:val="8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6B5AC8">
              <w:rPr>
                <w:rFonts w:ascii="Arial CE" w:hAnsi="Arial CE" w:cs="Arial"/>
                <w:b/>
                <w:bCs/>
              </w:rPr>
              <w:t>VÝDAJE dle ODPA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rozpočet schválený (RS) 2019 v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rozpočet upravený (RU) </w:t>
            </w:r>
            <w:proofErr w:type="gramStart"/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2019 </w:t>
            </w:r>
            <w:r w:rsidR="008B2D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 Kč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skutečnost 2019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plnění  RU</w:t>
            </w:r>
            <w:proofErr w:type="gramEnd"/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B5A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</w:tr>
      <w:tr w:rsidR="006B5AC8" w:rsidRPr="006B5AC8" w:rsidTr="006B5AC8">
        <w:trPr>
          <w:trHeight w:val="4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1-ZEMĚDĚLSTVÍ, LESNÍ HOSPODÁŘSTVÍ a RYBÁŘSTVÍ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1 423 700,00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7 599 380,56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7 442 593,46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10xx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Zemědělství, lesní hospodářství a rybářství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1 423 700,00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7 599 380,56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7 442 593,46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97,94%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2-PRŮM. A OSTATNÍ ODVĚTVÍ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165 898 800,00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419 044 019,94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290 681 565,34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21xx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Průmysl, stavebnictví, obchod a služby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14 244 300,00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16 620 420,55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12 844 685,98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77,28%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22xx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Doprava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145 381 000,00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269 721 338,38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203 003 787,91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75,26%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23xx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Vodní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6 273 500,00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132 678 730,01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74 815 879,45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56,39%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24xx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Spoje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23 531,00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17 212,00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73,15%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3-SLUŽBY PRO OBYVATELSTVO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492 517 100,00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822 435 281,19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684 368 654,23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31xx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Vzdělávání a školské služby 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74 003 400,00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242 369 816,95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197 454 915,23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81,47%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32xx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Vzdělávání a školské služby 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3 337 800,00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4 789 440,00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4 479 440,00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93,53%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33xx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Kultura, církve a sdělovací prostředky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131 201 400,00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157 057 911,60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152 750 279,10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97,26%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34xx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Tělovýchova a zájmová činnost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69 744 200,00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158 976 285,68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124 921 993,90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78,58%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35xx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Zdravotnictví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2 320 000,00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3 637 125,00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3 632 085,25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99,86%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36xx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Bydlení, komunální služby a územní rozvoj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122 873 400,00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159 474 066,38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108 677 258,33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68,15%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37xx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Ochrana životního prostředí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87 376 000,00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94 939 399,78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91 498 102,32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96,38%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39xx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Ostatní činnosti související se službami pro obyvatelstvo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1 660 900,00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1 191 235,80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954 580,10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80,13%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4-SOCIÁLNÍ VĚCI A POLITIKA ZAMĚSTNANOSTI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8 173 700,00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135 708 355,27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110 541 093,86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4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43xx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Sociální služby a pomoc a společné činnosti v sociálním zabezpečení a politice zaměstnanosti.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8 173 700,00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135 708 355,27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110 541 093,86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81,45%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5-BEZPEČNOST STÁTU A PRÁVNÍ OCHRANA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40 186 800,00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54 297 604,08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40 125 788,02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52xx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Civilní připravenost na krizové stavy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415 300,00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515 300,00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303 553,73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58,91%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53xx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Bezpečnost a veřejný pořádek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37 437 900,00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37 374 597,26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34 377 420,22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91,98%</w:t>
            </w:r>
          </w:p>
        </w:tc>
      </w:tr>
      <w:tr w:rsidR="006B5AC8" w:rsidRPr="006B5AC8" w:rsidTr="006B5AC8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55xx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Požární ochrana a integrovaný záchranný systém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2 333 600,00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16 407 706,82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5 444 814,07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33,18%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6-VŠEOBECNÁ VEŘEJNÁ SPRÁVA A SLUŽBY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361 591 100,00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311 627 986,49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248 131 854,84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center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</w:tr>
      <w:tr w:rsidR="006B5AC8" w:rsidRPr="006B5AC8" w:rsidTr="006B5AC8">
        <w:trPr>
          <w:trHeight w:val="4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61xx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Státní moc, státní práva, územní samospráva a politické strany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225 739 700,00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255 481 967,24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228 950 766,42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89,62%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63xx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Finanční operace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39 492 000,00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30 780 600,88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17 653 596,49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57,35%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64xx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 xml:space="preserve">Ostatní činnosti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96 359 400,00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25 365 418,37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 xml:space="preserve">1 527 491,93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6,02%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1 069 791 200,00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1 750 712 627,53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1 381 291 549,75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B5AC8">
              <w:rPr>
                <w:rFonts w:ascii="Arial CE" w:hAnsi="Arial CE" w:cs="Arial"/>
                <w:b/>
                <w:bCs/>
                <w:sz w:val="16"/>
                <w:szCs w:val="16"/>
              </w:rPr>
              <w:t>78,90%</w:t>
            </w:r>
          </w:p>
        </w:tc>
      </w:tr>
      <w:tr w:rsidR="006B5AC8" w:rsidRPr="006B5AC8" w:rsidTr="006B5AC8">
        <w:trPr>
          <w:trHeight w:val="43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jc w:val="right"/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 xml:space="preserve"> * zařízení předškolní výchovy a základního vzdělávání,</w:t>
            </w:r>
            <w:r>
              <w:rPr>
                <w:rFonts w:ascii="Arial CE" w:hAnsi="Arial CE" w:cs="Arial"/>
                <w:sz w:val="16"/>
                <w:szCs w:val="16"/>
              </w:rPr>
              <w:t xml:space="preserve"> </w:t>
            </w:r>
            <w:r w:rsidRPr="006B5AC8">
              <w:rPr>
                <w:rFonts w:ascii="Arial CE" w:hAnsi="Arial CE" w:cs="Arial"/>
                <w:sz w:val="16"/>
                <w:szCs w:val="16"/>
              </w:rPr>
              <w:t>střední vzdělávání a vzdělávání v konzervatořích, školská zařízení pro výkon ústavní a ochranné výchovy, ostatní zařízení související s výchovou a vzděláním mládeže, školy zajišť</w:t>
            </w:r>
            <w:r>
              <w:rPr>
                <w:rFonts w:ascii="Arial CE" w:hAnsi="Arial CE" w:cs="Arial"/>
                <w:sz w:val="16"/>
                <w:szCs w:val="16"/>
              </w:rPr>
              <w:t>u</w:t>
            </w:r>
            <w:r w:rsidRPr="006B5AC8">
              <w:rPr>
                <w:rFonts w:ascii="Arial CE" w:hAnsi="Arial CE" w:cs="Arial"/>
                <w:sz w:val="16"/>
                <w:szCs w:val="16"/>
              </w:rPr>
              <w:t>jící vyšší odborné vzdělání</w:t>
            </w:r>
          </w:p>
        </w:tc>
      </w:tr>
      <w:tr w:rsidR="006B5AC8" w:rsidRPr="006B5AC8" w:rsidTr="006B5AC8">
        <w:trPr>
          <w:trHeight w:val="25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AC8" w:rsidRPr="006B5AC8" w:rsidRDefault="006B5AC8" w:rsidP="006B5AC8">
            <w:pPr>
              <w:rPr>
                <w:rFonts w:ascii="Arial CE" w:hAnsi="Arial CE" w:cs="Arial"/>
                <w:sz w:val="16"/>
                <w:szCs w:val="16"/>
              </w:rPr>
            </w:pPr>
            <w:r w:rsidRPr="006B5AC8">
              <w:rPr>
                <w:rFonts w:ascii="Arial CE" w:hAnsi="Arial CE" w:cs="Arial"/>
                <w:sz w:val="16"/>
                <w:szCs w:val="16"/>
              </w:rPr>
              <w:t>** zařízení vysokoškolského vzdělání, zájmové studium, správa ve vzdělávání, výzkum školství a vzdělání, ostatní činnosti</w:t>
            </w:r>
          </w:p>
        </w:tc>
      </w:tr>
    </w:tbl>
    <w:p w:rsidR="006D08FF" w:rsidRDefault="006D08FF">
      <w:pPr>
        <w:rPr>
          <w:rFonts w:ascii="Arial" w:hAnsi="Arial" w:cs="Arial"/>
          <w:sz w:val="22"/>
        </w:rPr>
      </w:pPr>
    </w:p>
    <w:p w:rsidR="0076256F" w:rsidRDefault="009512C6" w:rsidP="00762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="0076256F">
        <w:rPr>
          <w:rFonts w:ascii="Arial" w:hAnsi="Arial" w:cs="Arial"/>
          <w:sz w:val="22"/>
          <w:szCs w:val="22"/>
        </w:rPr>
        <w:t>ěsto Opava se v rozpočtu řídí schválenými závaznými ukazateli</w:t>
      </w:r>
      <w:r>
        <w:rPr>
          <w:rFonts w:ascii="Arial" w:hAnsi="Arial" w:cs="Arial"/>
          <w:sz w:val="22"/>
          <w:szCs w:val="22"/>
        </w:rPr>
        <w:t>. Závazný ukaza</w:t>
      </w:r>
      <w:r w:rsidR="00842429">
        <w:rPr>
          <w:rFonts w:ascii="Arial" w:hAnsi="Arial" w:cs="Arial"/>
          <w:sz w:val="22"/>
          <w:szCs w:val="22"/>
        </w:rPr>
        <w:t xml:space="preserve">tel je úzce napojen na ORJ, </w:t>
      </w:r>
      <w:proofErr w:type="gramStart"/>
      <w:r w:rsidR="00842429">
        <w:rPr>
          <w:rFonts w:ascii="Arial" w:hAnsi="Arial" w:cs="Arial"/>
          <w:sz w:val="22"/>
          <w:szCs w:val="22"/>
        </w:rPr>
        <w:t>tzn.</w:t>
      </w:r>
      <w:r>
        <w:rPr>
          <w:rFonts w:ascii="Arial" w:hAnsi="Arial" w:cs="Arial"/>
          <w:sz w:val="22"/>
          <w:szCs w:val="22"/>
        </w:rPr>
        <w:t xml:space="preserve"> </w:t>
      </w:r>
      <w:r w:rsidR="00BC0D36">
        <w:rPr>
          <w:rFonts w:ascii="Arial" w:hAnsi="Arial" w:cs="Arial"/>
          <w:sz w:val="22"/>
          <w:szCs w:val="22"/>
        </w:rPr>
        <w:t>že</w:t>
      </w:r>
      <w:proofErr w:type="gramEnd"/>
      <w:r w:rsidR="00BC0D36">
        <w:rPr>
          <w:rFonts w:ascii="Arial" w:hAnsi="Arial" w:cs="Arial"/>
          <w:sz w:val="22"/>
          <w:szCs w:val="22"/>
        </w:rPr>
        <w:t xml:space="preserve"> jeden ze </w:t>
      </w:r>
      <w:r>
        <w:rPr>
          <w:rFonts w:ascii="Arial" w:hAnsi="Arial" w:cs="Arial"/>
          <w:sz w:val="22"/>
          <w:szCs w:val="22"/>
        </w:rPr>
        <w:t>závazný</w:t>
      </w:r>
      <w:r w:rsidR="00BC0D36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ukazatel</w:t>
      </w:r>
      <w:r w:rsidR="00BC0D36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= výše schváleného (upraveného) rozpočtu na každé jednotlivé ORJ. Níže </w:t>
      </w:r>
      <w:r w:rsidR="0076256F">
        <w:rPr>
          <w:rFonts w:ascii="Arial" w:hAnsi="Arial" w:cs="Arial"/>
          <w:sz w:val="22"/>
          <w:szCs w:val="22"/>
        </w:rPr>
        <w:t>předkládáme přehled plněn</w:t>
      </w:r>
      <w:r w:rsidR="00BC0D36">
        <w:rPr>
          <w:rFonts w:ascii="Arial" w:hAnsi="Arial" w:cs="Arial"/>
          <w:sz w:val="22"/>
          <w:szCs w:val="22"/>
        </w:rPr>
        <w:t xml:space="preserve">í výdajů v členění na tento </w:t>
      </w:r>
      <w:r>
        <w:rPr>
          <w:rFonts w:ascii="Arial" w:hAnsi="Arial" w:cs="Arial"/>
          <w:sz w:val="22"/>
          <w:szCs w:val="22"/>
        </w:rPr>
        <w:t>závazn</w:t>
      </w:r>
      <w:r w:rsidR="00BC0D36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ukazatel</w:t>
      </w:r>
      <w:r w:rsidR="0076256F">
        <w:rPr>
          <w:rFonts w:ascii="Arial" w:hAnsi="Arial" w:cs="Arial"/>
          <w:sz w:val="22"/>
          <w:szCs w:val="22"/>
        </w:rPr>
        <w:t>.</w:t>
      </w:r>
    </w:p>
    <w:p w:rsidR="0076256F" w:rsidRDefault="0076256F">
      <w:pPr>
        <w:rPr>
          <w:rFonts w:ascii="Arial" w:hAnsi="Arial" w:cs="Arial"/>
          <w:sz w:val="22"/>
        </w:rPr>
      </w:pPr>
    </w:p>
    <w:p w:rsidR="00BC0D36" w:rsidRDefault="00BC0D36">
      <w:pPr>
        <w:rPr>
          <w:rFonts w:ascii="Arial" w:hAnsi="Arial" w:cs="Arial"/>
          <w:sz w:val="22"/>
        </w:rPr>
      </w:pPr>
    </w:p>
    <w:p w:rsidR="0076256F" w:rsidRDefault="00CC628F" w:rsidP="00762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plnění výdajů dle ORJ*</w:t>
      </w:r>
      <w:r w:rsidR="0076256F">
        <w:rPr>
          <w:rFonts w:ascii="Arial" w:hAnsi="Arial" w:cs="Arial"/>
          <w:sz w:val="22"/>
          <w:szCs w:val="22"/>
        </w:rPr>
        <w:t>:</w:t>
      </w:r>
    </w:p>
    <w:tbl>
      <w:tblPr>
        <w:tblW w:w="9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763"/>
        <w:gridCol w:w="1487"/>
        <w:gridCol w:w="1393"/>
        <w:gridCol w:w="1480"/>
        <w:gridCol w:w="729"/>
      </w:tblGrid>
      <w:tr w:rsidR="009566BD" w:rsidRPr="009566BD" w:rsidTr="00BD53E2">
        <w:trPr>
          <w:trHeight w:val="25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schválený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upravený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plnění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rozpočet (RS)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rozpočet (RU)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skutečnost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</w:t>
            </w:r>
          </w:p>
        </w:tc>
      </w:tr>
      <w:tr w:rsidR="009566BD" w:rsidRPr="009566BD" w:rsidTr="00BD53E2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ODBOR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0020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finanční a rozpočtový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178 493 000,00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212 681 470,58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158 949 491,02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74,74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0030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školství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88 177 700,00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119 828 766,41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119 044 094,55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99,35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0040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sociální odbor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31 562 500,00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38 064 494,00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36 897 397,88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96,93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majetku města: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0050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samostatné pracoviště majetku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17 858 400,00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56 123 919,06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45 279 826,41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80,68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0051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správy a evidence budov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68 526 300,00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87 517 290,18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66 064 386,10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75,49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0052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správa a evidence pozemků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14 615 000,00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30 971 265,35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7 763 145,70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25,07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100 999 700,00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174 612 474,59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119 107 358,21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68,21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0060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výstavby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130 000,00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160 600,00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53 537,00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33,34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0080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B41134" w:rsidP="00956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566BD" w:rsidRPr="009566BD">
              <w:rPr>
                <w:rFonts w:ascii="Arial" w:hAnsi="Arial" w:cs="Arial"/>
                <w:sz w:val="18"/>
                <w:szCs w:val="18"/>
              </w:rPr>
              <w:t>dbor hlavního architekta a územního plánu**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4 235 300,00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5 634 400,45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2 050 728,58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36,40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0081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územního plánování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879 242,00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0082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památkové péče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61 165,50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30,58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0090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vnitřních věcí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3 155 500,00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3 172 946,22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2 482 195,55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78,23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0110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36 648 700,00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37 029 432,06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34 137 246,57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92,19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kancelář primátora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0120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samostatné pracoviště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16 855 800,00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20 716 407,65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15 910 905,86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76,80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0121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kultury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123 130 000,00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135 625 000,00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135 426 460,97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99,85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139 985 800,00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156 341 407,65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151 337 366,83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96,80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0130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životního prostředí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61 038 000,00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64 502 380,63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62 456 502,51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96,83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0140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rozvoje města a strategického plánování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3 273 100,00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4 413 159,38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1 360 581,37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30,83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0150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živnostenský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8 000,00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37,50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0160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dopravy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917 000,00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927 000,00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907 671,50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97,91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0170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informatiky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22 682 600,00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25 889 571,69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15 004 947,98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57,96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0180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právní a organizační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400 000,00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522 967,00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141 446,00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27,05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 xml:space="preserve">kancelář tajemníka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0191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hospodářská správy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10 918 600,00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15 003 642,24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11 227 264,57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74,83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0193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havarijního a krizového řízení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1 324 800,00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1 391 249,31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1 141 624,88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82,06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0194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veřejných zakázek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181 000,00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181 539,00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15 996,20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8,81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12 424 400,00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16 576 430,55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12 384 885,65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74,71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0192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AC43D9" w:rsidP="00AC4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odděl</w:t>
            </w:r>
            <w:r w:rsidR="009566BD" w:rsidRPr="009566BD">
              <w:rPr>
                <w:rFonts w:ascii="Arial" w:hAnsi="Arial" w:cs="Arial"/>
                <w:sz w:val="18"/>
                <w:szCs w:val="18"/>
              </w:rPr>
              <w:t>ení personální a mzdové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179 347 600,00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196 218 893,10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191 550 231,25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97,62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0195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manažer bezpečnosti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487 900,00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731 836,00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528 528,00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72,22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0210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oddělení kontroly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9 000,00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8 933,00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99,26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0220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odbor přípravy a realizace investic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32 512 000,00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480 598 713,86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291 146 816,79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60,58 </w:t>
            </w:r>
          </w:p>
        </w:tc>
      </w:tr>
      <w:tr w:rsidR="009566BD" w:rsidRPr="009566BD" w:rsidTr="00BD53E2">
        <w:trPr>
          <w:trHeight w:val="69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0790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 xml:space="preserve">Technické služby </w:t>
            </w:r>
            <w:r w:rsidRPr="009566BD">
              <w:rPr>
                <w:rFonts w:ascii="Arial" w:hAnsi="Arial" w:cs="Arial"/>
                <w:sz w:val="16"/>
                <w:szCs w:val="16"/>
              </w:rPr>
              <w:t>(patří pod odbor majetku města a odbor životního prostředí - dle vykonávané činnosti)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131 905 400,00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152 349 797,50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146 610 929,78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96,23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2A17AE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Komárov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7 001 000,00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8 726 991,00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5 100 660,38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58,45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0810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Malé Hoštice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9 204 000,00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9 799 396,00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8 227 178,94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83,96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0820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 xml:space="preserve">městská část </w:t>
            </w:r>
            <w:proofErr w:type="spellStart"/>
            <w:r w:rsidRPr="009566BD">
              <w:rPr>
                <w:rFonts w:ascii="Arial" w:hAnsi="Arial" w:cs="Arial"/>
                <w:sz w:val="18"/>
                <w:szCs w:val="18"/>
              </w:rPr>
              <w:t>Podvihov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4 450 000,00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8 224 218,00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3 189 530,43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38,78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0830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Suché Lazce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5 599 000,00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6 378 934,50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5 625 646,85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88,19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0840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Vávrovice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6 938 000,00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8 592 448,00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5 699 600,02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66,33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lastRenderedPageBreak/>
              <w:t>0850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Vlaštovičky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2 779 000,00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3 762 315,00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2 704 749,30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71,89 </w:t>
            </w:r>
          </w:p>
        </w:tc>
      </w:tr>
      <w:tr w:rsidR="009566BD" w:rsidRPr="009566BD" w:rsidTr="00BD53E2">
        <w:trPr>
          <w:trHeight w:val="25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0860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Zlatníky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2 709 000,00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9 617 986,36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2 102 508,49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21,86 </w:t>
            </w:r>
          </w:p>
        </w:tc>
      </w:tr>
      <w:tr w:rsidR="009566BD" w:rsidRPr="009566BD" w:rsidTr="00BD53E2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0870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8"/>
                <w:szCs w:val="18"/>
              </w:rPr>
            </w:pPr>
            <w:r w:rsidRPr="009566BD">
              <w:rPr>
                <w:rFonts w:ascii="Arial" w:hAnsi="Arial" w:cs="Arial"/>
                <w:sz w:val="18"/>
                <w:szCs w:val="18"/>
              </w:rPr>
              <w:t>městská část Milostovice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2 718 000,00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4 257 355,00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2 416 619,82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56,76 </w:t>
            </w:r>
          </w:p>
        </w:tc>
      </w:tr>
      <w:tr w:rsidR="009566BD" w:rsidRPr="009566BD" w:rsidTr="00BD53E2">
        <w:trPr>
          <w:trHeight w:val="27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6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6BD">
              <w:rPr>
                <w:rFonts w:ascii="Arial" w:hAnsi="Arial" w:cs="Arial"/>
                <w:b/>
                <w:bCs/>
                <w:sz w:val="18"/>
                <w:szCs w:val="18"/>
              </w:rPr>
              <w:t>VÝDAJE CELKEM (po konsolidaci)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6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1 069 791 200,00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6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1 750 712 627,53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6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1 381 291 549,75 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6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78,90 </w:t>
            </w:r>
          </w:p>
        </w:tc>
      </w:tr>
      <w:tr w:rsidR="009566BD" w:rsidRPr="009566BD" w:rsidTr="00BD53E2">
        <w:trPr>
          <w:trHeight w:val="255"/>
        </w:trPr>
        <w:tc>
          <w:tcPr>
            <w:tcW w:w="940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 xml:space="preserve">* ORJ = organizační jednotka - </w:t>
            </w:r>
            <w:proofErr w:type="spellStart"/>
            <w:r w:rsidRPr="009566BD">
              <w:rPr>
                <w:rFonts w:ascii="Arial" w:hAnsi="Arial" w:cs="Arial"/>
                <w:sz w:val="16"/>
                <w:szCs w:val="16"/>
              </w:rPr>
              <w:t>vnitroorganizační</w:t>
            </w:r>
            <w:proofErr w:type="spellEnd"/>
            <w:r w:rsidRPr="009566BD">
              <w:rPr>
                <w:rFonts w:ascii="Arial" w:hAnsi="Arial" w:cs="Arial"/>
                <w:sz w:val="16"/>
                <w:szCs w:val="16"/>
              </w:rPr>
              <w:t xml:space="preserve"> třídění na jednotky - odbory (případně oddělení) odpovědné za svůj rozpočet </w:t>
            </w:r>
          </w:p>
        </w:tc>
      </w:tr>
      <w:tr w:rsidR="009566BD" w:rsidRPr="009566BD" w:rsidTr="00BD53E2">
        <w:trPr>
          <w:trHeight w:val="432"/>
        </w:trPr>
        <w:tc>
          <w:tcPr>
            <w:tcW w:w="9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6BD" w:rsidRPr="009566BD" w:rsidRDefault="009566BD" w:rsidP="009566BD">
            <w:pPr>
              <w:rPr>
                <w:rFonts w:ascii="Arial" w:hAnsi="Arial" w:cs="Arial"/>
                <w:sz w:val="16"/>
                <w:szCs w:val="16"/>
              </w:rPr>
            </w:pPr>
            <w:r w:rsidRPr="009566BD">
              <w:rPr>
                <w:rFonts w:ascii="Arial" w:hAnsi="Arial" w:cs="Arial"/>
                <w:sz w:val="16"/>
                <w:szCs w:val="16"/>
              </w:rPr>
              <w:t>** odbor hlavního architekta zanikl k 31. 07. 2019 a od 01. 08. 2019 byl rozdělen na samostatná pracoviště architekta, inženýrských sítí a dopravy, pro sídelní a krajinnou zeleň a oddělení územního plánování a oddělení památkové péče</w:t>
            </w:r>
          </w:p>
        </w:tc>
      </w:tr>
    </w:tbl>
    <w:p w:rsidR="0076256F" w:rsidRDefault="0076256F">
      <w:pPr>
        <w:rPr>
          <w:rFonts w:ascii="Arial" w:hAnsi="Arial" w:cs="Arial"/>
          <w:sz w:val="22"/>
        </w:rPr>
      </w:pPr>
    </w:p>
    <w:p w:rsidR="00611AB0" w:rsidRDefault="00611AB0" w:rsidP="00611A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popis činností jednotlivých odborů najdete v komentářích jednotlivých odborů v částech A2 s odkazem na jednotlivé odbory.</w:t>
      </w:r>
    </w:p>
    <w:p w:rsidR="00611AB0" w:rsidRDefault="00611AB0">
      <w:pPr>
        <w:rPr>
          <w:rFonts w:ascii="Arial" w:hAnsi="Arial" w:cs="Arial"/>
          <w:sz w:val="22"/>
        </w:rPr>
      </w:pPr>
    </w:p>
    <w:p w:rsidR="006C4F0A" w:rsidRDefault="006C4F0A" w:rsidP="006C4F0A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1.1.3 KONSOLIDACE</w:t>
      </w:r>
    </w:p>
    <w:p w:rsidR="006C4F0A" w:rsidRDefault="006C4F0A" w:rsidP="006C4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používání rozpočtové skladby, která je postavena na peněžním principu a sleduje veškeré operace na bankovních účtech, je smyslem konsolidace očištění příjmů a výdajů od interních přesunů peněžních prostředků mezi bankovními účty a účty fondů. Objem převodů mezi bankovními účty města dosáhl v roce 2019 hodnoty 2.211.947.761,62 Kč. </w:t>
      </w:r>
    </w:p>
    <w:p w:rsidR="006C4F0A" w:rsidRDefault="006C4F0A" w:rsidP="006C4F0A">
      <w:pPr>
        <w:jc w:val="both"/>
        <w:rPr>
          <w:rFonts w:ascii="Arial" w:hAnsi="Arial" w:cs="Arial"/>
          <w:sz w:val="22"/>
          <w:szCs w:val="22"/>
        </w:rPr>
      </w:pPr>
    </w:p>
    <w:p w:rsidR="006C4F0A" w:rsidRDefault="006C4F0A" w:rsidP="006C4F0A">
      <w:pPr>
        <w:jc w:val="both"/>
        <w:outlineLvl w:val="2"/>
        <w:rPr>
          <w:rFonts w:ascii="Arial" w:hAnsi="Arial" w:cs="Arial"/>
          <w:b/>
          <w:i/>
          <w:sz w:val="28"/>
          <w:szCs w:val="28"/>
        </w:rPr>
      </w:pPr>
      <w:bookmarkStart w:id="8" w:name="_Toc513714456"/>
      <w:r>
        <w:rPr>
          <w:rFonts w:ascii="Arial" w:hAnsi="Arial" w:cs="Arial"/>
          <w:b/>
          <w:i/>
          <w:sz w:val="28"/>
          <w:szCs w:val="28"/>
        </w:rPr>
        <w:t>1.1.4 FINANCOVÁNÍ</w:t>
      </w:r>
      <w:bookmarkEnd w:id="8"/>
    </w:p>
    <w:p w:rsidR="006C4F0A" w:rsidRDefault="006C4F0A" w:rsidP="006C4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Financování představuje peněžní operace spojené s přijetím externích zdrojů a splácením jistin přijatých návratných zdrojů a operace s peněžními fondy. Dále představuje v bilanci příjmů a výdajů peněžní operac</w:t>
      </w:r>
      <w:r w:rsidR="0029409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kter</w:t>
      </w:r>
      <w:r w:rsidR="0029409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případě schodkového hospodaření doplňuj</w:t>
      </w:r>
      <w:r w:rsidR="0029409A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cizími návratnými zdroji nebo finančními prostředky z minulých let stránku příjmů nebo v případě přebytkového rozpočtu změnu stavu prostředků na bankovních účtech. </w:t>
      </w:r>
    </w:p>
    <w:p w:rsidR="0029409A" w:rsidRDefault="0029409A" w:rsidP="0029409A">
      <w:pPr>
        <w:jc w:val="both"/>
        <w:rPr>
          <w:rFonts w:ascii="Arial" w:hAnsi="Arial" w:cs="Arial"/>
          <w:sz w:val="22"/>
          <w:szCs w:val="22"/>
        </w:rPr>
      </w:pPr>
      <w:r w:rsidRPr="00672E40">
        <w:rPr>
          <w:rFonts w:ascii="Arial" w:hAnsi="Arial" w:cs="Arial"/>
          <w:sz w:val="22"/>
          <w:szCs w:val="22"/>
          <w:u w:val="single"/>
        </w:rPr>
        <w:t>V roce 2019 město ve financování plánovalo</w:t>
      </w:r>
      <w:r>
        <w:rPr>
          <w:rFonts w:ascii="Arial" w:hAnsi="Arial" w:cs="Arial"/>
          <w:sz w:val="22"/>
          <w:szCs w:val="22"/>
        </w:rPr>
        <w:t>:</w:t>
      </w:r>
    </w:p>
    <w:p w:rsidR="0029409A" w:rsidRPr="00A6096C" w:rsidRDefault="0029409A" w:rsidP="0029409A">
      <w:pPr>
        <w:jc w:val="both"/>
        <w:rPr>
          <w:rFonts w:ascii="Arial" w:hAnsi="Arial" w:cs="Arial"/>
          <w:sz w:val="22"/>
          <w:szCs w:val="22"/>
          <w:u w:val="single"/>
        </w:rPr>
      </w:pPr>
      <w:r w:rsidRPr="00A6096C">
        <w:rPr>
          <w:rFonts w:ascii="Arial" w:hAnsi="Arial" w:cs="Arial"/>
          <w:sz w:val="22"/>
          <w:szCs w:val="22"/>
          <w:u w:val="single"/>
        </w:rPr>
        <w:t>na straně příjmů:</w:t>
      </w:r>
    </w:p>
    <w:p w:rsidR="0029409A" w:rsidRDefault="0029409A" w:rsidP="0029409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použití sociálního fondu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+ 5.130.200,00 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           </w:t>
      </w:r>
      <w:r w:rsidRPr="0078007F">
        <w:rPr>
          <w:rFonts w:ascii="Arial" w:hAnsi="Arial" w:cs="Arial"/>
          <w:b/>
          <w:sz w:val="22"/>
          <w:szCs w:val="22"/>
        </w:rPr>
        <w:t>celkem  + 5.130.200,00 Kč</w:t>
      </w:r>
    </w:p>
    <w:p w:rsidR="0029409A" w:rsidRDefault="0029409A" w:rsidP="0029409A">
      <w:pPr>
        <w:jc w:val="both"/>
        <w:rPr>
          <w:rFonts w:ascii="Arial" w:hAnsi="Arial" w:cs="Arial"/>
          <w:sz w:val="22"/>
          <w:szCs w:val="22"/>
        </w:rPr>
      </w:pPr>
    </w:p>
    <w:p w:rsidR="0029409A" w:rsidRDefault="0029409A" w:rsidP="0029409A">
      <w:pPr>
        <w:jc w:val="both"/>
        <w:rPr>
          <w:rFonts w:ascii="Arial" w:hAnsi="Arial" w:cs="Arial"/>
          <w:sz w:val="22"/>
          <w:szCs w:val="22"/>
        </w:rPr>
      </w:pPr>
      <w:r w:rsidRPr="00A6096C">
        <w:rPr>
          <w:rFonts w:ascii="Arial" w:hAnsi="Arial" w:cs="Arial"/>
          <w:sz w:val="22"/>
          <w:szCs w:val="22"/>
          <w:u w:val="single"/>
        </w:rPr>
        <w:t>na straně výdajů</w:t>
      </w:r>
      <w:r>
        <w:rPr>
          <w:rFonts w:ascii="Arial" w:hAnsi="Arial" w:cs="Arial"/>
          <w:sz w:val="22"/>
          <w:szCs w:val="22"/>
        </w:rPr>
        <w:t>:</w:t>
      </w:r>
    </w:p>
    <w:p w:rsidR="0029409A" w:rsidRDefault="0029409A" w:rsidP="002940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sociálního fondu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- 5.130.200,00 Kč</w:t>
      </w:r>
    </w:p>
    <w:p w:rsidR="0029409A" w:rsidRDefault="0029409A" w:rsidP="002940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zajišťovacího fondu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          -    100.000,00 Kč</w:t>
      </w:r>
    </w:p>
    <w:p w:rsidR="0029409A" w:rsidRDefault="0029409A" w:rsidP="002940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fondu obnovy vodovodů a kanalizací                                      -  3.420.000,00 Kč</w:t>
      </w:r>
    </w:p>
    <w:p w:rsidR="0029409A" w:rsidRPr="00BF3302" w:rsidRDefault="0029409A" w:rsidP="002940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splátka revolvingového úvěru (KB 460 mil.)                                     - 30.000.000,00 Kč </w:t>
      </w:r>
      <w:r>
        <w:rPr>
          <w:rFonts w:ascii="Arial" w:hAnsi="Arial" w:cs="Arial"/>
          <w:sz w:val="22"/>
          <w:szCs w:val="22"/>
        </w:rPr>
        <w:tab/>
      </w:r>
      <w:r>
        <w:t>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                  </w:t>
      </w:r>
      <w:r w:rsidRPr="0078007F">
        <w:rPr>
          <w:rFonts w:ascii="Arial" w:hAnsi="Arial" w:cs="Arial"/>
          <w:b/>
          <w:sz w:val="22"/>
          <w:szCs w:val="22"/>
        </w:rPr>
        <w:t>celkem - 38.650.200,00 Kč</w:t>
      </w:r>
    </w:p>
    <w:p w:rsidR="00BF3302" w:rsidRDefault="00BF3302" w:rsidP="00BF3302">
      <w:pPr>
        <w:ind w:left="49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</w:t>
      </w:r>
      <w:r w:rsidR="00F01C17">
        <w:rPr>
          <w:rFonts w:ascii="Arial" w:hAnsi="Arial" w:cs="Arial"/>
          <w:b/>
          <w:sz w:val="22"/>
          <w:szCs w:val="22"/>
        </w:rPr>
        <w:tab/>
      </w:r>
      <w:r w:rsidR="00F01C1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 saldo  - 33.520.000,00 Kč</w:t>
      </w:r>
    </w:p>
    <w:p w:rsidR="00E0601F" w:rsidRPr="0029409A" w:rsidRDefault="00E0601F" w:rsidP="00BF3302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29409A" w:rsidRPr="00BF3302" w:rsidRDefault="00BF3302" w:rsidP="0029409A">
      <w:pPr>
        <w:jc w:val="both"/>
        <w:rPr>
          <w:rFonts w:ascii="Arial" w:hAnsi="Arial" w:cs="Arial"/>
          <w:sz w:val="22"/>
          <w:szCs w:val="22"/>
        </w:rPr>
      </w:pPr>
      <w:r w:rsidRPr="00BF3302">
        <w:rPr>
          <w:rFonts w:ascii="Arial" w:hAnsi="Arial" w:cs="Arial"/>
          <w:sz w:val="22"/>
          <w:szCs w:val="22"/>
        </w:rPr>
        <w:t xml:space="preserve">Příjmy </w:t>
      </w:r>
      <w:r>
        <w:rPr>
          <w:rFonts w:ascii="Arial" w:hAnsi="Arial" w:cs="Arial"/>
          <w:sz w:val="22"/>
          <w:szCs w:val="22"/>
        </w:rPr>
        <w:t xml:space="preserve">byly plánovány ve výši 1.103.311.200,00 Kč mínus </w:t>
      </w:r>
      <w:r w:rsidR="00E0601F">
        <w:rPr>
          <w:rFonts w:ascii="Arial" w:hAnsi="Arial" w:cs="Arial"/>
          <w:sz w:val="22"/>
          <w:szCs w:val="22"/>
        </w:rPr>
        <w:t>33.520.000</w:t>
      </w:r>
      <w:r>
        <w:rPr>
          <w:rFonts w:ascii="Arial" w:hAnsi="Arial" w:cs="Arial"/>
          <w:sz w:val="22"/>
          <w:szCs w:val="22"/>
        </w:rPr>
        <w:t>,00 Kč (saldo financování) se rovnal výši rozpočtovaných výdajů ve výši 1.069.791.200,00 Kč.</w:t>
      </w:r>
    </w:p>
    <w:p w:rsidR="0029409A" w:rsidRDefault="0029409A" w:rsidP="006C4F0A">
      <w:pPr>
        <w:jc w:val="both"/>
        <w:rPr>
          <w:rFonts w:ascii="Arial" w:hAnsi="Arial" w:cs="Arial"/>
          <w:sz w:val="22"/>
          <w:szCs w:val="22"/>
        </w:rPr>
      </w:pPr>
    </w:p>
    <w:p w:rsidR="0029409A" w:rsidRDefault="0029409A" w:rsidP="006C4F0A">
      <w:pPr>
        <w:jc w:val="both"/>
        <w:rPr>
          <w:rFonts w:ascii="Arial" w:hAnsi="Arial" w:cs="Arial"/>
          <w:sz w:val="22"/>
          <w:szCs w:val="22"/>
        </w:rPr>
      </w:pPr>
      <w:r w:rsidRPr="00672E40">
        <w:rPr>
          <w:rFonts w:ascii="Arial" w:hAnsi="Arial" w:cs="Arial"/>
          <w:sz w:val="22"/>
          <w:szCs w:val="22"/>
          <w:u w:val="single"/>
        </w:rPr>
        <w:t>Po úpravách během roku 2019 byl stav k 31. 12. 20219 následovný</w:t>
      </w:r>
      <w:r>
        <w:rPr>
          <w:rFonts w:ascii="Arial" w:hAnsi="Arial" w:cs="Arial"/>
          <w:sz w:val="22"/>
          <w:szCs w:val="22"/>
        </w:rPr>
        <w:t>:</w:t>
      </w:r>
    </w:p>
    <w:p w:rsidR="0029409A" w:rsidRDefault="0029409A" w:rsidP="0029409A">
      <w:p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  <w:u w:val="single"/>
        </w:rPr>
        <w:t>na straně příjmů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9409A" w:rsidRDefault="0029409A" w:rsidP="0029409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</w:rPr>
        <w:t>změna stavu běžných účtů (finanční vypořádání, zapojení zůstatku běžných účtů)</w:t>
      </w:r>
    </w:p>
    <w:p w:rsidR="0029409A" w:rsidRDefault="0029409A" w:rsidP="0029409A">
      <w:pPr>
        <w:pStyle w:val="Odstavecseseznamem"/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- 75.012.336,08 Kč</w:t>
      </w:r>
    </w:p>
    <w:p w:rsidR="0029409A" w:rsidRDefault="0029409A" w:rsidP="0029409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64F9">
        <w:rPr>
          <w:rFonts w:ascii="Arial" w:hAnsi="Arial" w:cs="Arial"/>
          <w:sz w:val="22"/>
          <w:szCs w:val="22"/>
        </w:rPr>
        <w:t>aktivní krátkodobé operace řízení likvidity</w:t>
      </w:r>
      <w:r>
        <w:rPr>
          <w:rFonts w:ascii="Arial" w:hAnsi="Arial" w:cs="Arial"/>
          <w:sz w:val="22"/>
          <w:szCs w:val="22"/>
        </w:rPr>
        <w:t xml:space="preserve"> příjmy</w:t>
      </w:r>
      <w:r w:rsidR="001025CC">
        <w:rPr>
          <w:rFonts w:ascii="Arial" w:hAnsi="Arial" w:cs="Arial"/>
          <w:sz w:val="22"/>
          <w:szCs w:val="22"/>
        </w:rPr>
        <w:t xml:space="preserve"> (termínovaný vklad)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600.000.000,00 Kč</w:t>
      </w:r>
    </w:p>
    <w:p w:rsidR="0029409A" w:rsidRDefault="0029409A" w:rsidP="0029409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revolvingového úvěru (KB 460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129.934.812,56 Kč</w:t>
      </w:r>
    </w:p>
    <w:p w:rsidR="0029409A" w:rsidRDefault="00844104" w:rsidP="0029409A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celkem</w:t>
      </w:r>
      <w:r w:rsidR="0029409A" w:rsidRPr="000B64F9">
        <w:rPr>
          <w:rFonts w:ascii="Arial" w:hAnsi="Arial" w:cs="Arial"/>
          <w:b/>
          <w:sz w:val="22"/>
          <w:szCs w:val="22"/>
        </w:rPr>
        <w:t xml:space="preserve"> </w:t>
      </w:r>
      <w:r w:rsidR="00A53044">
        <w:rPr>
          <w:rFonts w:ascii="Arial" w:hAnsi="Arial" w:cs="Arial"/>
          <w:b/>
          <w:sz w:val="22"/>
          <w:szCs w:val="22"/>
        </w:rPr>
        <w:t> </w:t>
      </w:r>
      <w:r w:rsidR="0029409A" w:rsidRPr="000B64F9">
        <w:rPr>
          <w:rFonts w:ascii="Arial" w:hAnsi="Arial" w:cs="Arial"/>
          <w:b/>
          <w:sz w:val="22"/>
          <w:szCs w:val="22"/>
        </w:rPr>
        <w:t>654.922.476,48 Kč</w:t>
      </w:r>
    </w:p>
    <w:p w:rsidR="0029409A" w:rsidRDefault="0029409A" w:rsidP="0029409A">
      <w:pPr>
        <w:jc w:val="both"/>
        <w:rPr>
          <w:rFonts w:ascii="Arial" w:hAnsi="Arial" w:cs="Arial"/>
          <w:b/>
          <w:sz w:val="22"/>
          <w:szCs w:val="22"/>
        </w:rPr>
      </w:pPr>
    </w:p>
    <w:p w:rsidR="0029409A" w:rsidRDefault="0029409A" w:rsidP="0029409A">
      <w:pPr>
        <w:jc w:val="both"/>
        <w:rPr>
          <w:rFonts w:ascii="Arial" w:hAnsi="Arial" w:cs="Arial"/>
          <w:sz w:val="22"/>
          <w:szCs w:val="22"/>
        </w:rPr>
      </w:pPr>
      <w:r w:rsidRPr="00E77777">
        <w:rPr>
          <w:rFonts w:ascii="Arial" w:hAnsi="Arial" w:cs="Arial"/>
          <w:sz w:val="22"/>
          <w:szCs w:val="22"/>
          <w:u w:val="single"/>
        </w:rPr>
        <w:t>na straně výdajů</w:t>
      </w:r>
      <w:r w:rsidRPr="00E77777">
        <w:rPr>
          <w:rFonts w:ascii="Arial" w:hAnsi="Arial" w:cs="Arial"/>
          <w:sz w:val="22"/>
          <w:szCs w:val="22"/>
        </w:rPr>
        <w:t>:</w:t>
      </w:r>
    </w:p>
    <w:p w:rsidR="0029409A" w:rsidRDefault="0029409A" w:rsidP="0029409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17FC">
        <w:rPr>
          <w:rFonts w:ascii="Arial" w:hAnsi="Arial" w:cs="Arial"/>
          <w:sz w:val="22"/>
          <w:szCs w:val="22"/>
        </w:rPr>
        <w:t xml:space="preserve">aktivní krátkodobé operace řízení likvidity </w:t>
      </w:r>
      <w:r w:rsidR="0015695F">
        <w:rPr>
          <w:rFonts w:ascii="Arial" w:hAnsi="Arial" w:cs="Arial"/>
          <w:sz w:val="22"/>
          <w:szCs w:val="22"/>
        </w:rPr>
        <w:t>výdaje</w:t>
      </w:r>
      <w:r w:rsidR="001025CC">
        <w:rPr>
          <w:rFonts w:ascii="Arial" w:hAnsi="Arial" w:cs="Arial"/>
          <w:sz w:val="22"/>
          <w:szCs w:val="22"/>
        </w:rPr>
        <w:t xml:space="preserve"> (termínovaný vklad)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 w:rsidR="001025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600.000.000,00 Kč</w:t>
      </w:r>
    </w:p>
    <w:p w:rsidR="0029409A" w:rsidRDefault="0029409A" w:rsidP="0029409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splátka revolvingového úvěru (KB 460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167.771.333,76 Kč</w:t>
      </w:r>
    </w:p>
    <w:p w:rsidR="0029409A" w:rsidRDefault="0029409A" w:rsidP="0029409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splátka úvěru ČSOB (280 mil. Kč)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30.000.000,00 Kč</w:t>
      </w:r>
    </w:p>
    <w:p w:rsidR="0029409A" w:rsidRDefault="00844104" w:rsidP="00844104">
      <w:pPr>
        <w:pStyle w:val="Odstavecseseznamem"/>
        <w:ind w:left="56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          </w:t>
      </w:r>
      <w:r w:rsidR="0029409A" w:rsidRPr="003B17FC">
        <w:rPr>
          <w:rFonts w:ascii="Arial" w:hAnsi="Arial" w:cs="Arial"/>
          <w:b/>
          <w:sz w:val="22"/>
          <w:szCs w:val="22"/>
        </w:rPr>
        <w:t>celkem  797.771.333,76 Kč</w:t>
      </w:r>
    </w:p>
    <w:p w:rsidR="0029409A" w:rsidRDefault="0029409A" w:rsidP="00844104">
      <w:pPr>
        <w:pStyle w:val="Odstavecseseznamem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E96F8A">
        <w:rPr>
          <w:rFonts w:ascii="Arial" w:hAnsi="Arial" w:cs="Arial"/>
          <w:b/>
          <w:sz w:val="22"/>
          <w:szCs w:val="22"/>
        </w:rPr>
        <w:t>saldo </w:t>
      </w:r>
      <w:r w:rsidR="00844104">
        <w:rPr>
          <w:rFonts w:ascii="Arial" w:hAnsi="Arial" w:cs="Arial"/>
          <w:b/>
          <w:sz w:val="22"/>
          <w:szCs w:val="22"/>
        </w:rPr>
        <w:t>-</w:t>
      </w:r>
      <w:r w:rsidRPr="00E96F8A">
        <w:rPr>
          <w:rFonts w:ascii="Arial" w:hAnsi="Arial" w:cs="Arial"/>
          <w:b/>
          <w:sz w:val="22"/>
          <w:szCs w:val="22"/>
        </w:rPr>
        <w:t> 142.848.857,28 Kč</w:t>
      </w:r>
    </w:p>
    <w:p w:rsidR="00844104" w:rsidRDefault="00844104" w:rsidP="00844104">
      <w:pPr>
        <w:jc w:val="both"/>
        <w:rPr>
          <w:rFonts w:ascii="Arial" w:hAnsi="Arial" w:cs="Arial"/>
          <w:sz w:val="22"/>
          <w:szCs w:val="22"/>
        </w:rPr>
      </w:pPr>
    </w:p>
    <w:p w:rsidR="00844104" w:rsidRPr="00844104" w:rsidRDefault="00CE7AB1" w:rsidP="008441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Příjmy (po konsolidaci) dosáhly v roce 2019 výše 1.524.140.407,03 Kč – 142.848.857,28 Kč (saldo financování) odpovídá výši </w:t>
      </w:r>
      <w:r w:rsidR="009A69BE">
        <w:rPr>
          <w:rFonts w:ascii="Arial" w:hAnsi="Arial" w:cs="Arial"/>
          <w:sz w:val="22"/>
          <w:szCs w:val="22"/>
        </w:rPr>
        <w:t>dosažených výdajů (po konsolidaci), a to 1.381.291.549,75 Kč</w:t>
      </w:r>
    </w:p>
    <w:p w:rsidR="0029409A" w:rsidRPr="0029409A" w:rsidRDefault="0029409A" w:rsidP="0029409A">
      <w:pPr>
        <w:jc w:val="both"/>
        <w:rPr>
          <w:rFonts w:ascii="Arial" w:hAnsi="Arial" w:cs="Arial"/>
          <w:b/>
          <w:sz w:val="22"/>
          <w:szCs w:val="22"/>
        </w:rPr>
      </w:pPr>
    </w:p>
    <w:p w:rsidR="00AC3411" w:rsidRDefault="00AC3411" w:rsidP="00AC3411">
      <w:pPr>
        <w:jc w:val="both"/>
        <w:rPr>
          <w:rFonts w:ascii="Arial" w:hAnsi="Arial" w:cs="Arial"/>
          <w:sz w:val="22"/>
          <w:szCs w:val="22"/>
        </w:rPr>
      </w:pPr>
      <w:r w:rsidRPr="00243A8D">
        <w:rPr>
          <w:rFonts w:ascii="Arial" w:hAnsi="Arial" w:cs="Arial"/>
          <w:sz w:val="22"/>
          <w:szCs w:val="22"/>
        </w:rPr>
        <w:t>Přehled zadluženosti z poskytnutých úvěrů městu k 31.</w:t>
      </w:r>
      <w:r>
        <w:rPr>
          <w:rFonts w:ascii="Arial" w:hAnsi="Arial" w:cs="Arial"/>
          <w:sz w:val="22"/>
          <w:szCs w:val="22"/>
        </w:rPr>
        <w:t xml:space="preserve"> </w:t>
      </w:r>
      <w:r w:rsidRPr="00243A8D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243A8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243A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243A8D">
        <w:rPr>
          <w:rFonts w:ascii="Arial" w:hAnsi="Arial" w:cs="Arial"/>
          <w:sz w:val="22"/>
          <w:szCs w:val="22"/>
        </w:rPr>
        <w:t xml:space="preserve"> Kč: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1740"/>
        <w:gridCol w:w="505"/>
        <w:gridCol w:w="1540"/>
        <w:gridCol w:w="1606"/>
        <w:gridCol w:w="1559"/>
      </w:tblGrid>
      <w:tr w:rsidR="003A13DC" w:rsidRPr="003A13DC" w:rsidTr="003A13DC">
        <w:trPr>
          <w:trHeight w:val="270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K 31. 12. 2018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Zůstatek nesplacených úvěrů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ORG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ČSOB a.s. (280mil.)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130 259 549,11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KB a.s. (460mil)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177 666 574,27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307 926 123,38</w:t>
            </w:r>
          </w:p>
        </w:tc>
      </w:tr>
      <w:tr w:rsidR="003A13DC" w:rsidRPr="003A13DC" w:rsidTr="003A13DC">
        <w:trPr>
          <w:trHeight w:val="270"/>
        </w:trPr>
        <w:tc>
          <w:tcPr>
            <w:tcW w:w="2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495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schválený rozpočet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skutečnost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Příjem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ČSOB a.s. (280mil.)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KB a.s. (460mil)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129 934 812,56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129 934 812,56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Splátky k 31. 12. 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3DC">
              <w:rPr>
                <w:rFonts w:ascii="Arial" w:hAnsi="Arial" w:cs="Arial"/>
                <w:b/>
                <w:bCs/>
                <w:sz w:val="18"/>
                <w:szCs w:val="18"/>
              </w:rPr>
              <w:t>zůstatek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ČSOB a.s. (280mil.)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-30 000 000,0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-30 000 000,00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100 259 549,11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KB a.s. (460mil)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9963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-167 771 333,76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139 830 053,07</w:t>
            </w:r>
          </w:p>
        </w:tc>
      </w:tr>
      <w:tr w:rsidR="003A13DC" w:rsidRPr="003A13DC" w:rsidTr="003A13DC">
        <w:trPr>
          <w:trHeight w:val="255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-30 000 000,00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-197 771 333,76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DC">
              <w:rPr>
                <w:rFonts w:ascii="Arial" w:hAnsi="Arial" w:cs="Arial"/>
                <w:b/>
                <w:bCs/>
                <w:sz w:val="16"/>
                <w:szCs w:val="16"/>
              </w:rPr>
              <w:t>240 089 602,18</w:t>
            </w:r>
          </w:p>
        </w:tc>
      </w:tr>
      <w:tr w:rsidR="003A13DC" w:rsidRPr="003A13DC" w:rsidTr="003A13DC">
        <w:trPr>
          <w:trHeight w:val="270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DC" w:rsidRPr="003A13DC" w:rsidTr="003A13DC">
        <w:trPr>
          <w:trHeight w:val="270"/>
        </w:trPr>
        <w:tc>
          <w:tcPr>
            <w:tcW w:w="3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ZŮSTATEK K 31.</w:t>
            </w:r>
            <w:r w:rsidR="00E16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E16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rPr>
                <w:rFonts w:ascii="Arial" w:hAnsi="Arial" w:cs="Arial"/>
                <w:sz w:val="16"/>
                <w:szCs w:val="16"/>
              </w:rPr>
            </w:pPr>
            <w:r w:rsidRPr="003A13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-30 000 000,00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-67 836 521,20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3DC" w:rsidRPr="003A13DC" w:rsidRDefault="003A13DC" w:rsidP="003A13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3DC">
              <w:rPr>
                <w:rFonts w:ascii="Arial" w:hAnsi="Arial" w:cs="Arial"/>
                <w:b/>
                <w:bCs/>
                <w:sz w:val="20"/>
                <w:szCs w:val="20"/>
              </w:rPr>
              <w:t>240 089 602,18</w:t>
            </w:r>
          </w:p>
        </w:tc>
      </w:tr>
    </w:tbl>
    <w:p w:rsidR="00C222A9" w:rsidRDefault="00C222A9" w:rsidP="00AC3411">
      <w:pPr>
        <w:jc w:val="both"/>
        <w:rPr>
          <w:rFonts w:ascii="Arial" w:hAnsi="Arial" w:cs="Arial"/>
          <w:sz w:val="22"/>
          <w:szCs w:val="22"/>
        </w:rPr>
      </w:pPr>
    </w:p>
    <w:p w:rsidR="007844D2" w:rsidRDefault="007844D2" w:rsidP="007844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úvěrových smluv:</w:t>
      </w:r>
    </w:p>
    <w:p w:rsidR="007844D2" w:rsidRPr="00E2196D" w:rsidRDefault="007844D2" w:rsidP="007844D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2196D">
        <w:rPr>
          <w:rFonts w:ascii="Arial" w:hAnsi="Arial" w:cs="Arial"/>
          <w:sz w:val="20"/>
          <w:szCs w:val="20"/>
        </w:rPr>
        <w:t>Smlouva o úvěru s Československou obchodní bankou a.s. z roku 2011 na čerpán</w:t>
      </w:r>
      <w:r>
        <w:rPr>
          <w:rFonts w:ascii="Arial" w:hAnsi="Arial" w:cs="Arial"/>
          <w:sz w:val="20"/>
          <w:szCs w:val="20"/>
        </w:rPr>
        <w:t>í ve výši úvěrového rámce do 50</w:t>
      </w:r>
      <w:r w:rsidRPr="00E2196D">
        <w:rPr>
          <w:rFonts w:ascii="Arial" w:hAnsi="Arial" w:cs="Arial"/>
          <w:sz w:val="20"/>
          <w:szCs w:val="20"/>
        </w:rPr>
        <w:t>0.000.000,00 Kč a zůstatkem k 31.</w:t>
      </w:r>
      <w:r>
        <w:rPr>
          <w:rFonts w:ascii="Arial" w:hAnsi="Arial" w:cs="Arial"/>
          <w:sz w:val="20"/>
          <w:szCs w:val="20"/>
        </w:rPr>
        <w:t xml:space="preserve"> </w:t>
      </w:r>
      <w:r w:rsidRPr="00E2196D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E2196D">
        <w:rPr>
          <w:rFonts w:ascii="Arial" w:hAnsi="Arial" w:cs="Arial"/>
          <w:sz w:val="20"/>
          <w:szCs w:val="20"/>
        </w:rPr>
        <w:t xml:space="preserve">2013 ve výši 280.000.000,00 Kč s úrokovou sazbou 3M PRIBOR + 0,75% </w:t>
      </w:r>
      <w:proofErr w:type="spellStart"/>
      <w:proofErr w:type="gramStart"/>
      <w:r w:rsidRPr="00E2196D">
        <w:rPr>
          <w:rFonts w:ascii="Arial" w:hAnsi="Arial" w:cs="Arial"/>
          <w:sz w:val="20"/>
          <w:szCs w:val="20"/>
        </w:rPr>
        <w:t>p.a</w:t>
      </w:r>
      <w:proofErr w:type="spellEnd"/>
      <w:r w:rsidRPr="00E2196D">
        <w:rPr>
          <w:rFonts w:ascii="Arial" w:hAnsi="Arial" w:cs="Arial"/>
          <w:sz w:val="20"/>
          <w:szCs w:val="20"/>
        </w:rPr>
        <w:t>.</w:t>
      </w:r>
      <w:proofErr w:type="gramEnd"/>
      <w:r w:rsidRPr="00E2196D">
        <w:rPr>
          <w:rFonts w:ascii="Arial" w:hAnsi="Arial" w:cs="Arial"/>
          <w:sz w:val="20"/>
          <w:szCs w:val="20"/>
        </w:rPr>
        <w:t xml:space="preserve">  V roce 201</w:t>
      </w:r>
      <w:r>
        <w:rPr>
          <w:rFonts w:ascii="Arial" w:hAnsi="Arial" w:cs="Arial"/>
          <w:sz w:val="20"/>
          <w:szCs w:val="20"/>
        </w:rPr>
        <w:t>9</w:t>
      </w:r>
      <w:r w:rsidRPr="00E2196D"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>ly provedeny splátky jistiny ve </w:t>
      </w:r>
      <w:r w:rsidRPr="00E2196D">
        <w:rPr>
          <w:rFonts w:ascii="Arial" w:hAnsi="Arial" w:cs="Arial"/>
          <w:sz w:val="20"/>
          <w:szCs w:val="20"/>
        </w:rPr>
        <w:t xml:space="preserve">výši 30.000.000,00 Kč. Zaplaceny byly úroky ve výši </w:t>
      </w:r>
      <w:r>
        <w:rPr>
          <w:rFonts w:ascii="Arial" w:hAnsi="Arial" w:cs="Arial"/>
          <w:sz w:val="20"/>
          <w:szCs w:val="20"/>
        </w:rPr>
        <w:t>3.379.950,52</w:t>
      </w:r>
      <w:r w:rsidRPr="00E2196D">
        <w:rPr>
          <w:rFonts w:ascii="Arial" w:hAnsi="Arial" w:cs="Arial"/>
          <w:sz w:val="20"/>
          <w:szCs w:val="20"/>
        </w:rPr>
        <w:t xml:space="preserve"> Kč. Zůstatek ke </w:t>
      </w:r>
      <w:r>
        <w:rPr>
          <w:rFonts w:ascii="Arial" w:hAnsi="Arial" w:cs="Arial"/>
          <w:sz w:val="20"/>
          <w:szCs w:val="20"/>
        </w:rPr>
        <w:t>s</w:t>
      </w:r>
      <w:r w:rsidRPr="00E2196D">
        <w:rPr>
          <w:rFonts w:ascii="Arial" w:hAnsi="Arial" w:cs="Arial"/>
          <w:sz w:val="20"/>
          <w:szCs w:val="20"/>
        </w:rPr>
        <w:t>plácení k 31.</w:t>
      </w:r>
      <w:r>
        <w:rPr>
          <w:rFonts w:ascii="Arial" w:hAnsi="Arial" w:cs="Arial"/>
          <w:sz w:val="20"/>
          <w:szCs w:val="20"/>
        </w:rPr>
        <w:t> </w:t>
      </w:r>
      <w:r w:rsidRPr="00E2196D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> </w:t>
      </w:r>
      <w:r w:rsidRPr="00E2196D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E2196D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100.259.549,11</w:t>
      </w:r>
      <w:r w:rsidRPr="00E2196D">
        <w:rPr>
          <w:rFonts w:ascii="Arial" w:hAnsi="Arial" w:cs="Arial"/>
          <w:sz w:val="20"/>
          <w:szCs w:val="20"/>
        </w:rPr>
        <w:t xml:space="preserve"> Kč.</w:t>
      </w:r>
    </w:p>
    <w:p w:rsidR="007844D2" w:rsidRDefault="007844D2" w:rsidP="007844D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196D">
        <w:rPr>
          <w:rFonts w:ascii="Arial" w:hAnsi="Arial" w:cs="Arial"/>
          <w:sz w:val="20"/>
          <w:szCs w:val="20"/>
        </w:rPr>
        <w:t>Smlouva o úvěru s Komerční bankou a.s. z roku 2017 na čerpání ve výši úvěrového rámce do výše 460.000.000,00 Kč a zůstatkem k 31.</w:t>
      </w:r>
      <w:r>
        <w:rPr>
          <w:rFonts w:ascii="Arial" w:hAnsi="Arial" w:cs="Arial"/>
          <w:sz w:val="20"/>
          <w:szCs w:val="20"/>
        </w:rPr>
        <w:t xml:space="preserve"> </w:t>
      </w:r>
      <w:r w:rsidRPr="00E2196D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E2196D">
        <w:rPr>
          <w:rFonts w:ascii="Arial" w:hAnsi="Arial" w:cs="Arial"/>
          <w:sz w:val="20"/>
          <w:szCs w:val="20"/>
        </w:rPr>
        <w:t xml:space="preserve">2020 ve výši 350.000.000,00 Kč s úrokovou sazbou 3M </w:t>
      </w:r>
      <w:r>
        <w:rPr>
          <w:rFonts w:ascii="Arial" w:hAnsi="Arial" w:cs="Arial"/>
          <w:sz w:val="20"/>
          <w:szCs w:val="20"/>
        </w:rPr>
        <w:t xml:space="preserve">PRIBOR + 0,00%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V roce 2019</w:t>
      </w:r>
      <w:r w:rsidRPr="00E2196D">
        <w:rPr>
          <w:rFonts w:ascii="Arial" w:hAnsi="Arial" w:cs="Arial"/>
          <w:sz w:val="20"/>
          <w:szCs w:val="20"/>
        </w:rPr>
        <w:t xml:space="preserve"> bylo čerpáno </w:t>
      </w:r>
      <w:r>
        <w:rPr>
          <w:rFonts w:ascii="Arial" w:hAnsi="Arial" w:cs="Arial"/>
          <w:sz w:val="20"/>
          <w:szCs w:val="20"/>
        </w:rPr>
        <w:t>129.934.812,56</w:t>
      </w:r>
      <w:r w:rsidRPr="00E2196D">
        <w:rPr>
          <w:rFonts w:ascii="Arial" w:hAnsi="Arial" w:cs="Arial"/>
          <w:sz w:val="20"/>
          <w:szCs w:val="20"/>
        </w:rPr>
        <w:t xml:space="preserve"> Kč a provedeny splátky jistiny ve výši </w:t>
      </w:r>
      <w:r>
        <w:rPr>
          <w:rFonts w:ascii="Arial" w:hAnsi="Arial" w:cs="Arial"/>
          <w:sz w:val="20"/>
          <w:szCs w:val="20"/>
        </w:rPr>
        <w:t>167.771.333,76</w:t>
      </w:r>
      <w:r w:rsidRPr="00E2196D">
        <w:rPr>
          <w:rFonts w:ascii="Arial" w:hAnsi="Arial" w:cs="Arial"/>
          <w:sz w:val="20"/>
          <w:szCs w:val="20"/>
        </w:rPr>
        <w:t xml:space="preserve"> Kč. Zaplaceny byly úroky ve výši </w:t>
      </w:r>
      <w:r>
        <w:rPr>
          <w:rFonts w:ascii="Arial" w:hAnsi="Arial" w:cs="Arial"/>
          <w:sz w:val="20"/>
          <w:szCs w:val="20"/>
        </w:rPr>
        <w:t>2.700.041,75</w:t>
      </w:r>
      <w:r w:rsidRPr="00E2196D">
        <w:rPr>
          <w:rFonts w:ascii="Arial" w:hAnsi="Arial" w:cs="Arial"/>
          <w:sz w:val="20"/>
          <w:szCs w:val="20"/>
        </w:rPr>
        <w:t xml:space="preserve"> Kč. Z</w:t>
      </w:r>
      <w:r>
        <w:rPr>
          <w:rFonts w:ascii="Arial" w:hAnsi="Arial" w:cs="Arial"/>
          <w:sz w:val="20"/>
          <w:szCs w:val="20"/>
        </w:rPr>
        <w:t>ůstatek ke splácení k 31. 12. 2019</w:t>
      </w:r>
      <w:r w:rsidRPr="00E2196D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139.830.053,07</w:t>
      </w:r>
      <w:r w:rsidRPr="00E2196D">
        <w:rPr>
          <w:rFonts w:ascii="Arial" w:hAnsi="Arial" w:cs="Arial"/>
          <w:sz w:val="20"/>
          <w:szCs w:val="20"/>
        </w:rPr>
        <w:t xml:space="preserve"> Kč.</w:t>
      </w:r>
    </w:p>
    <w:p w:rsidR="007844D2" w:rsidRDefault="007844D2" w:rsidP="00AC3411">
      <w:pPr>
        <w:jc w:val="both"/>
        <w:rPr>
          <w:rFonts w:ascii="Arial" w:hAnsi="Arial" w:cs="Arial"/>
          <w:sz w:val="22"/>
          <w:szCs w:val="22"/>
        </w:rPr>
      </w:pPr>
    </w:p>
    <w:p w:rsidR="00357E0B" w:rsidRDefault="00357E0B" w:rsidP="00357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Oblast financování je zohledněna v přílohách  </w:t>
      </w:r>
      <w:hyperlink r:id="rId31" w:history="1">
        <w:r w:rsidRPr="00DC60F4">
          <w:rPr>
            <w:rStyle w:val="Hypertextovodkaz"/>
            <w:rFonts w:ascii="Arial" w:hAnsi="Arial" w:cs="Arial"/>
            <w:sz w:val="22"/>
            <w:szCs w:val="22"/>
          </w:rPr>
          <w:t>A_14 financování</w:t>
        </w:r>
      </w:hyperlink>
      <w:r>
        <w:rPr>
          <w:rFonts w:ascii="Arial" w:hAnsi="Arial" w:cs="Arial"/>
          <w:sz w:val="22"/>
          <w:szCs w:val="22"/>
        </w:rPr>
        <w:t xml:space="preserve"> a </w:t>
      </w:r>
      <w:hyperlink r:id="rId32" w:history="1">
        <w:r w:rsidRPr="00DC60F4">
          <w:rPr>
            <w:rStyle w:val="Hypertextovodkaz"/>
            <w:rFonts w:ascii="Arial" w:hAnsi="Arial" w:cs="Arial"/>
            <w:sz w:val="22"/>
            <w:szCs w:val="22"/>
          </w:rPr>
          <w:t>A_7_příjmy a výdaje_</w:t>
        </w:r>
        <w:r w:rsidR="00CF1DB3" w:rsidRPr="00DC60F4">
          <w:rPr>
            <w:rStyle w:val="Hypertextovodkaz"/>
            <w:rFonts w:ascii="Arial" w:hAnsi="Arial" w:cs="Arial"/>
            <w:sz w:val="22"/>
            <w:szCs w:val="22"/>
          </w:rPr>
          <w:t>2016 </w:t>
        </w:r>
        <w:r w:rsidRPr="00DC60F4">
          <w:rPr>
            <w:rStyle w:val="Hypertextovodkaz"/>
            <w:rFonts w:ascii="Arial" w:hAnsi="Arial" w:cs="Arial"/>
            <w:sz w:val="22"/>
            <w:szCs w:val="22"/>
          </w:rPr>
          <w:t>2019</w:t>
        </w:r>
      </w:hyperlink>
      <w:r>
        <w:rPr>
          <w:rFonts w:ascii="Arial" w:hAnsi="Arial" w:cs="Arial"/>
          <w:sz w:val="22"/>
          <w:szCs w:val="22"/>
        </w:rPr>
        <w:t xml:space="preserve"> a problematika úvěrů je zohledněna v přílohách  </w:t>
      </w:r>
      <w:hyperlink r:id="rId33" w:history="1">
        <w:r w:rsidRPr="00DC60F4">
          <w:rPr>
            <w:rStyle w:val="Hypertextovodkaz"/>
            <w:rFonts w:ascii="Arial" w:hAnsi="Arial" w:cs="Arial"/>
            <w:sz w:val="22"/>
            <w:szCs w:val="22"/>
          </w:rPr>
          <w:t>A_20 zadluženost SMO</w:t>
        </w:r>
      </w:hyperlink>
      <w:r>
        <w:rPr>
          <w:rFonts w:ascii="Arial" w:hAnsi="Arial" w:cs="Arial"/>
          <w:sz w:val="22"/>
          <w:szCs w:val="22"/>
        </w:rPr>
        <w:t xml:space="preserve"> a  </w:t>
      </w:r>
      <w:hyperlink r:id="rId34" w:history="1">
        <w:r w:rsidRPr="00DC60F4">
          <w:rPr>
            <w:rStyle w:val="Hypertextovodkaz"/>
            <w:rFonts w:ascii="Arial" w:hAnsi="Arial" w:cs="Arial"/>
            <w:sz w:val="22"/>
            <w:szCs w:val="22"/>
          </w:rPr>
          <w:t>A_19 přehled úvěrů SMO</w:t>
        </w:r>
      </w:hyperlink>
      <w:r w:rsidRPr="00261B27">
        <w:rPr>
          <w:rFonts w:ascii="Arial" w:hAnsi="Arial" w:cs="Arial"/>
          <w:sz w:val="22"/>
          <w:szCs w:val="22"/>
        </w:rPr>
        <w:t>.</w:t>
      </w:r>
    </w:p>
    <w:p w:rsidR="001D7B91" w:rsidRDefault="001D7B91" w:rsidP="00357E0B">
      <w:pPr>
        <w:jc w:val="both"/>
        <w:rPr>
          <w:rFonts w:ascii="Arial" w:hAnsi="Arial" w:cs="Arial"/>
          <w:sz w:val="22"/>
          <w:szCs w:val="22"/>
        </w:rPr>
      </w:pPr>
    </w:p>
    <w:p w:rsidR="001D7B91" w:rsidRPr="00093E50" w:rsidRDefault="001D7B91" w:rsidP="001D7B91">
      <w:pPr>
        <w:jc w:val="both"/>
        <w:outlineLvl w:val="1"/>
        <w:rPr>
          <w:rFonts w:ascii="Arial" w:hAnsi="Arial" w:cs="Arial"/>
          <w:b/>
          <w:i/>
          <w:sz w:val="28"/>
          <w:szCs w:val="28"/>
        </w:rPr>
      </w:pPr>
      <w:r w:rsidRPr="0006473E">
        <w:rPr>
          <w:rFonts w:ascii="Arial" w:hAnsi="Arial" w:cs="Arial"/>
          <w:b/>
          <w:i/>
          <w:sz w:val="28"/>
          <w:szCs w:val="28"/>
        </w:rPr>
        <w:t>1.2 HOSPODAŘENÍ S MAJETKEM</w:t>
      </w:r>
    </w:p>
    <w:p w:rsidR="001D7B91" w:rsidRDefault="001D7B91" w:rsidP="00357E0B">
      <w:pPr>
        <w:jc w:val="both"/>
        <w:rPr>
          <w:rFonts w:ascii="Arial" w:hAnsi="Arial" w:cs="Arial"/>
          <w:sz w:val="22"/>
          <w:szCs w:val="22"/>
        </w:rPr>
      </w:pPr>
    </w:p>
    <w:p w:rsidR="007955C7" w:rsidRDefault="007955C7" w:rsidP="00357E0B">
      <w:pPr>
        <w:jc w:val="both"/>
        <w:rPr>
          <w:rFonts w:ascii="Arial" w:hAnsi="Arial" w:cs="Arial"/>
          <w:sz w:val="22"/>
          <w:szCs w:val="22"/>
        </w:rPr>
      </w:pPr>
      <w:r w:rsidRPr="005772DF">
        <w:rPr>
          <w:rFonts w:ascii="Arial" w:hAnsi="Arial" w:cs="Arial"/>
          <w:sz w:val="22"/>
          <w:szCs w:val="22"/>
        </w:rPr>
        <w:t xml:space="preserve">Přehled majetku </w:t>
      </w:r>
      <w:r>
        <w:rPr>
          <w:rFonts w:ascii="Arial" w:hAnsi="Arial" w:cs="Arial"/>
          <w:sz w:val="22"/>
          <w:szCs w:val="22"/>
        </w:rPr>
        <w:t>dle rozvahy</w:t>
      </w:r>
      <w:r w:rsidR="00DC60F4">
        <w:rPr>
          <w:rFonts w:ascii="Arial" w:hAnsi="Arial" w:cs="Arial"/>
          <w:sz w:val="22"/>
          <w:szCs w:val="22"/>
        </w:rPr>
        <w:t xml:space="preserve"> v Kč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2046"/>
        <w:gridCol w:w="1701"/>
        <w:gridCol w:w="1418"/>
        <w:gridCol w:w="1559"/>
        <w:gridCol w:w="1559"/>
      </w:tblGrid>
      <w:tr w:rsidR="00672E40" w:rsidRPr="00672E40" w:rsidTr="00184DB3">
        <w:trPr>
          <w:trHeight w:val="67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BB1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stav k </w:t>
            </w:r>
          </w:p>
          <w:p w:rsidR="00672E40" w:rsidRPr="00672E40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31.</w:t>
            </w:r>
            <w:r w:rsidR="00771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  <w:r w:rsidR="00771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přírůstky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úbytky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BB1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stav k </w:t>
            </w:r>
          </w:p>
          <w:p w:rsidR="00672E40" w:rsidRPr="00672E40" w:rsidRDefault="00672E40" w:rsidP="00672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31.</w:t>
            </w:r>
            <w:r w:rsidR="00771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  <w:r w:rsidR="00771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61 915 658,14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9 239 707,41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-3 491 185,20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67 664 180,35</w:t>
            </w:r>
          </w:p>
        </w:tc>
      </w:tr>
      <w:tr w:rsidR="00672E40" w:rsidRPr="00672E40" w:rsidTr="00184DB3">
        <w:trPr>
          <w:trHeight w:val="5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Drobný dlouhodobý nehmotný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10 882 272,19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120 658,31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-120 658,31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10 882 272,19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Ostatní dlo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hodobý nehmotný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86 779 223,67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955 173,00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87 702 896,67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4 106 612 277,07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280 398 102,78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-169 536 730,67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4 217 473 649,18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bytové domy a bytové jednotky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207 081 330,45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16 870 722,15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-1 089 500,00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222 862 552,60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bytové domy a bytové jednotky- majetek v zástavě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61 272 031,00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61 272 031,00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stavby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39 139 389,57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1 481 206,17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40 620 595,74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budovy pro služby obyvatelstvu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1 053 050 000,64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58 683 932,24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-58 182 724,34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1 053 551 208,54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jiné nebytové domy a nebytové jednotky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336 742 594,90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22 844 995,38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-38 034 623,72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321 552 966,56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komunikace a veřejné osvětlení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1 317 932 146,18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29 810 870,49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-17 173 977,00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1 330 569 039,67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jiné inženýrské sítě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545 509 326,46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3 454 300,00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-29 210,00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548 934 416,46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ostatní stavby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545 885 457,87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147 252 076,35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-55 026 695,61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638 110 838,61</w:t>
            </w:r>
          </w:p>
        </w:tc>
      </w:tr>
      <w:tr w:rsidR="00672E40" w:rsidRPr="00672E40" w:rsidTr="00184DB3">
        <w:trPr>
          <w:trHeight w:val="49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184D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Samostatné mov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ité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věci a soubory mov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itých </w:t>
            </w: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věcí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357 692 704,63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40 088 604,12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-17 250 986,15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380 530 322,60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energetické a hnací stroje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81 221 780,12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8 137 729,54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-3 815 505,00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85 544 004,66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pracovní stroje a zařízení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50 115 844,67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8 833 968,80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-151 853,19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58 797 960,28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výpočetní technika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163 664 591,82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14 636 263,57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-8 531 471,91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169 769 383,48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dopravní prostředky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43 902 314,52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7 789 121,21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-4 316 966,00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47 374 469,73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inventář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18 788 173,50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691 521,00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-435 190,05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19 044 504,45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Drobný dlouhodobý hmotný majetek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86 570 008,72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5 956 013,89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-3 542 497,64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88 983 524,97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Ostatní dlouhodobý hmotný majetek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276 500,20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89 298,00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365 798,20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Pozemky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2 472 772 956,03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11 854 160,80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-13 312 971,29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2 471 314 145,54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lesy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1 000 199,18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-4 780,18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995 419,00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zahrady, pastviny, louky, rybníky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598 884 446,78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9 075 170,36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-3 226 787,24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604 732 829,90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pozemky - zastavěná plocha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1 817 388 980,22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2 766 940,44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-10 081 314,91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1 810 074 605,75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pozemek - zastavěná plocha - pozemek v zástavě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3 570 667,00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3 570 667,00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ostatní pozemky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51 928 662,85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12 050,00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-88,96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51 940 623,89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Kulturní předměty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13 231 278,00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165 652,00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13 396 930,00</w:t>
            </w:r>
          </w:p>
        </w:tc>
      </w:tr>
      <w:tr w:rsidR="00672E40" w:rsidRPr="00672E40" w:rsidTr="00184DB3">
        <w:trPr>
          <w:trHeight w:val="5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Dlouhodobý hmotný majetek určený k prodeji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8 097 755,80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87 813 788,92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-7 348 269,80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88 563 274,92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pozemky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8 097 755,80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87 813 788,92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-7 348 269,80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88 563 274,92</w:t>
            </w:r>
          </w:p>
        </w:tc>
      </w:tr>
      <w:tr w:rsidR="00672E40" w:rsidRPr="00672E40" w:rsidTr="00184DB3">
        <w:trPr>
          <w:trHeight w:val="49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Nedokončený dlouhodobý nehmotný maj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2 518 091,44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6 698 360,80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-6 824 695,21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2 391 757,03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8"/>
                <w:szCs w:val="18"/>
              </w:rPr>
            </w:pPr>
            <w:r w:rsidRPr="00672E40">
              <w:rPr>
                <w:rFonts w:ascii="Arial" w:hAnsi="Arial" w:cs="Arial"/>
                <w:sz w:val="18"/>
                <w:szCs w:val="18"/>
              </w:rPr>
              <w:t>software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5 334,41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5 743 187,80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-5 748 522,21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nad 60.000,-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637 755,00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955 173,00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-1 076 173,00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516 755,00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 xml:space="preserve">sdružené prostředky - </w:t>
            </w:r>
            <w:proofErr w:type="spellStart"/>
            <w:r w:rsidRPr="00672E40">
              <w:rPr>
                <w:rFonts w:ascii="Arial" w:hAnsi="Arial" w:cs="Arial"/>
                <w:sz w:val="16"/>
                <w:szCs w:val="16"/>
              </w:rPr>
              <w:t>cyklo</w:t>
            </w:r>
            <w:proofErr w:type="spellEnd"/>
            <w:r w:rsidRPr="00672E40">
              <w:rPr>
                <w:rFonts w:ascii="Arial" w:hAnsi="Arial" w:cs="Arial"/>
                <w:sz w:val="16"/>
                <w:szCs w:val="16"/>
              </w:rPr>
              <w:t xml:space="preserve"> Otice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1 013 517,18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1 013 517,18</w:t>
            </w:r>
          </w:p>
        </w:tc>
      </w:tr>
      <w:tr w:rsidR="00672E40" w:rsidRPr="00672E40" w:rsidTr="00184DB3">
        <w:trPr>
          <w:trHeight w:val="45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 xml:space="preserve">sdružené prostředky - </w:t>
            </w:r>
            <w:proofErr w:type="spellStart"/>
            <w:r w:rsidRPr="00672E40">
              <w:rPr>
                <w:rFonts w:ascii="Arial" w:hAnsi="Arial" w:cs="Arial"/>
                <w:sz w:val="16"/>
                <w:szCs w:val="16"/>
              </w:rPr>
              <w:t>cyklo</w:t>
            </w:r>
            <w:proofErr w:type="spellEnd"/>
            <w:r w:rsidRPr="00672E40">
              <w:rPr>
                <w:rFonts w:ascii="Arial" w:hAnsi="Arial" w:cs="Arial"/>
                <w:sz w:val="16"/>
                <w:szCs w:val="16"/>
              </w:rPr>
              <w:t xml:space="preserve"> Jakartovice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861 484,85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861 484,85</w:t>
            </w:r>
          </w:p>
        </w:tc>
      </w:tr>
      <w:tr w:rsidR="00672E40" w:rsidRPr="00672E40" w:rsidTr="00184DB3">
        <w:trPr>
          <w:trHeight w:val="5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Nedokončený dlouhodobý 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207 841 733,54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306 516 998,61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-241 589 168,32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272 769 563,83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stavební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192 753 660,59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270 067 572,45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-202 516 430,56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260 304 802,48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strojní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10 452 496,60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25 361 349,16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-28 003 960,76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7 809 885,00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služebnost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89 298,00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-89 298,00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 xml:space="preserve">pozemky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220 748,00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10 833 129,00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-10 813 829,00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240 048,00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kulturní předměty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165 650,00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-165 650,00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2E40" w:rsidRPr="00672E40" w:rsidTr="00184DB3">
        <w:trPr>
          <w:trHeight w:val="2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20"/>
                <w:szCs w:val="20"/>
              </w:rPr>
            </w:pPr>
            <w:r w:rsidRPr="00672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opravné položky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4 414 828,35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40">
              <w:rPr>
                <w:rFonts w:ascii="Arial" w:hAnsi="Arial" w:cs="Arial"/>
                <w:sz w:val="16"/>
                <w:szCs w:val="16"/>
              </w:rPr>
              <w:t>4 414 828,35</w:t>
            </w:r>
          </w:p>
        </w:tc>
      </w:tr>
      <w:tr w:rsidR="00672E40" w:rsidRPr="00672E40" w:rsidTr="00184DB3">
        <w:trPr>
          <w:trHeight w:val="5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Pořizovaný dlouhodobý finanční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E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E40">
              <w:rPr>
                <w:rFonts w:ascii="Arial" w:hAnsi="Arial" w:cs="Arial"/>
                <w:b/>
                <w:bCs/>
                <w:sz w:val="16"/>
                <w:szCs w:val="16"/>
              </w:rPr>
              <w:t>24 950 000,00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E40">
              <w:rPr>
                <w:rFonts w:ascii="Arial" w:hAnsi="Arial" w:cs="Arial"/>
                <w:b/>
                <w:bCs/>
                <w:sz w:val="16"/>
                <w:szCs w:val="16"/>
              </w:rPr>
              <w:t>-24 950 000,00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Poskytnuté zálohy na DNM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Poskytnuté zálohy na DHM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547 388,00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4 488 864,48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-2 534 381,24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2 501 871,24</w:t>
            </w:r>
          </w:p>
        </w:tc>
      </w:tr>
      <w:tr w:rsidR="00672E40" w:rsidRPr="00672E40" w:rsidTr="00184DB3">
        <w:trPr>
          <w:trHeight w:val="5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Majetkové účasti v osobách s rozhod.</w:t>
            </w:r>
            <w:r w:rsidR="004B7C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vlivem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304 315 562,96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37 672 000,00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-1 742 410,66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340 245 152,30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Ostatní dlouhodobý finanční majetek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3 139 145,55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-123 695,55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3 015 450,00</w:t>
            </w:r>
          </w:p>
        </w:tc>
      </w:tr>
      <w:tr w:rsidR="00672E40" w:rsidRPr="00672E40" w:rsidTr="00184DB3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7 723 192 555,94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792 057 383,12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-467 449 150,04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0" w:rsidRPr="00672E40" w:rsidRDefault="00672E40" w:rsidP="00672E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E40">
              <w:rPr>
                <w:rFonts w:ascii="Arial" w:hAnsi="Arial" w:cs="Arial"/>
                <w:b/>
                <w:bCs/>
                <w:sz w:val="18"/>
                <w:szCs w:val="18"/>
              </w:rPr>
              <w:t>8 047 800 789,02</w:t>
            </w:r>
          </w:p>
        </w:tc>
      </w:tr>
    </w:tbl>
    <w:p w:rsidR="007955C7" w:rsidRDefault="007955C7" w:rsidP="00357E0B">
      <w:pPr>
        <w:jc w:val="both"/>
        <w:rPr>
          <w:rFonts w:ascii="Arial" w:hAnsi="Arial" w:cs="Arial"/>
          <w:sz w:val="22"/>
          <w:szCs w:val="22"/>
        </w:rPr>
      </w:pPr>
    </w:p>
    <w:p w:rsidR="00EC37B3" w:rsidRDefault="00EC37B3" w:rsidP="00184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Přírůstky majetku jsou: nákup budov a staveb, nákup samostatných předmětů, zařazení z účtu technického zhodnocení, bezúplatné převzetí od PO, bezúplatný převod od cizího subjektu, delimitace dle právního předpisu, přijaté dary, převod na jiné středisko (OR</w:t>
      </w:r>
      <w:r w:rsidR="00D20FE0">
        <w:rPr>
          <w:rFonts w:ascii="Arial" w:hAnsi="Arial" w:cs="Arial"/>
          <w:sz w:val="22"/>
          <w:szCs w:val="22"/>
        </w:rPr>
        <w:t>J) a </w:t>
      </w:r>
      <w:r>
        <w:rPr>
          <w:rFonts w:ascii="Arial" w:hAnsi="Arial" w:cs="Arial"/>
          <w:sz w:val="22"/>
          <w:szCs w:val="22"/>
        </w:rPr>
        <w:t xml:space="preserve">účetní opravy. Úbytky obsahují: vyřazení z důvodu opotřebení, prodej, převod PO, bezúplatné převedení cizím subjektům, převod na jiné středisko, poskytnuté dary, účetní opravy, snížení ceny. </w:t>
      </w:r>
    </w:p>
    <w:p w:rsidR="00EC37B3" w:rsidRDefault="00EC37B3" w:rsidP="00184DB3">
      <w:pPr>
        <w:jc w:val="both"/>
        <w:rPr>
          <w:rFonts w:ascii="Arial" w:hAnsi="Arial" w:cs="Arial"/>
          <w:sz w:val="22"/>
          <w:szCs w:val="22"/>
        </w:rPr>
      </w:pPr>
      <w:r w:rsidRPr="00462E4F">
        <w:rPr>
          <w:rFonts w:ascii="Arial" w:hAnsi="Arial" w:cs="Arial"/>
          <w:sz w:val="22"/>
          <w:szCs w:val="22"/>
        </w:rPr>
        <w:t>Statutární město</w:t>
      </w:r>
      <w:r>
        <w:rPr>
          <w:rFonts w:ascii="Arial" w:hAnsi="Arial" w:cs="Arial"/>
          <w:sz w:val="22"/>
          <w:szCs w:val="22"/>
        </w:rPr>
        <w:t xml:space="preserve"> Opava odepisovalo majetek rovnoměrnými odpisy a jejich saldo byl</w:t>
      </w:r>
      <w:r w:rsidR="004C5DF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E42E89">
        <w:rPr>
          <w:rFonts w:ascii="Arial" w:hAnsi="Arial" w:cs="Arial"/>
          <w:sz w:val="22"/>
          <w:szCs w:val="22"/>
        </w:rPr>
        <w:t>100.292.500,42 Kč.</w:t>
      </w:r>
    </w:p>
    <w:p w:rsidR="00EC37B3" w:rsidRDefault="00EC37B3" w:rsidP="00184DB3">
      <w:pPr>
        <w:jc w:val="both"/>
        <w:rPr>
          <w:rFonts w:ascii="Arial" w:hAnsi="Arial" w:cs="Arial"/>
          <w:sz w:val="22"/>
          <w:szCs w:val="22"/>
        </w:rPr>
      </w:pPr>
    </w:p>
    <w:p w:rsidR="00EC37B3" w:rsidRDefault="00EC37B3" w:rsidP="00184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Odpisy se kumulují do oprávek, které by měly vyjadřovat postupné opotřebení majetku. Dochází ke korekci pořizovací hodnoty majetku na hodnotu, která vyjadřuje skutečnost, že se nejedná o majetek úplně nový, ale o majetek, který je již delší dobu používán. Tím se získávají přesnější informace o hodnotě majetku vykazovaného v rozvaze. </w:t>
      </w:r>
    </w:p>
    <w:p w:rsidR="0070674D" w:rsidRDefault="0070674D" w:rsidP="00184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jsou odpisy nákladovou položkou umožňující vyjádřit, jaké zdroje by měly být vytvářeny k zajištění reprodukce majetku. Situace, kdy účetní jednotka není schopna svými výnosy pokrýt odpisy majetku</w:t>
      </w:r>
      <w:r w:rsidR="00CE596B">
        <w:rPr>
          <w:rFonts w:ascii="Arial" w:hAnsi="Arial" w:cs="Arial"/>
          <w:sz w:val="22"/>
          <w:szCs w:val="22"/>
        </w:rPr>
        <w:t>, znamená,</w:t>
      </w:r>
      <w:r>
        <w:rPr>
          <w:rFonts w:ascii="Arial" w:hAnsi="Arial" w:cs="Arial"/>
          <w:sz w:val="22"/>
          <w:szCs w:val="22"/>
        </w:rPr>
        <w:t xml:space="preserve"> že se upřednostňuje běžná spotřeba před dlouhodobějšími investicemi a nevytvářejí se zdroje k možné obnově majetku. V tomto smyslu se odpisy stávají důležitou kalkulační veličinou.</w:t>
      </w:r>
    </w:p>
    <w:p w:rsidR="0070674D" w:rsidRDefault="0070674D" w:rsidP="00EC37B3">
      <w:pPr>
        <w:jc w:val="both"/>
        <w:rPr>
          <w:rFonts w:ascii="Arial" w:hAnsi="Arial" w:cs="Arial"/>
          <w:sz w:val="22"/>
          <w:szCs w:val="22"/>
        </w:rPr>
      </w:pPr>
    </w:p>
    <w:p w:rsidR="00EC37B3" w:rsidRDefault="00EC37B3" w:rsidP="00EC37B3">
      <w:pPr>
        <w:jc w:val="both"/>
        <w:rPr>
          <w:rFonts w:ascii="Arial" w:hAnsi="Arial" w:cs="Arial"/>
          <w:sz w:val="22"/>
          <w:szCs w:val="22"/>
        </w:rPr>
      </w:pPr>
    </w:p>
    <w:p w:rsidR="00EC37B3" w:rsidRDefault="00EC37B3" w:rsidP="00EC3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oprávek dlouhodobého majetku: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842"/>
      </w:tblGrid>
      <w:tr w:rsidR="009C1B4D" w:rsidRPr="009C1B4D" w:rsidTr="009C1B4D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4D">
              <w:rPr>
                <w:rFonts w:ascii="Arial" w:hAnsi="Arial" w:cs="Arial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4D">
              <w:rPr>
                <w:rFonts w:ascii="Arial" w:hAnsi="Arial" w:cs="Arial"/>
                <w:b/>
                <w:bCs/>
                <w:sz w:val="20"/>
                <w:szCs w:val="20"/>
              </w:rPr>
              <w:t>minulá léta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4D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4D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40 198 984,49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7 120 909,00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47 319 893,49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drobný dlouhodobý nehmotný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10 882 272,19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10 882 272,19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ostatní dlouhodobý nehmotný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45 238 339,09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3 426 937,38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48 665 276,47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stavby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1 703 469 124,99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75 892 991,23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1 779 362 116,22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samostatné movité věci a soubory mov</w:t>
            </w:r>
            <w:r>
              <w:rPr>
                <w:rFonts w:ascii="Arial" w:hAnsi="Arial" w:cs="Arial"/>
                <w:sz w:val="20"/>
                <w:szCs w:val="20"/>
              </w:rPr>
              <w:t xml:space="preserve">itých </w:t>
            </w:r>
            <w:r w:rsidRPr="009C1B4D">
              <w:rPr>
                <w:rFonts w:ascii="Arial" w:hAnsi="Arial" w:cs="Arial"/>
                <w:sz w:val="20"/>
                <w:szCs w:val="20"/>
              </w:rPr>
              <w:t>věcí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227 510 964,61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11 431 261,56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238 942 226,17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86 570 008,72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2 413 516,25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88 983 524,97</w:t>
            </w:r>
          </w:p>
        </w:tc>
      </w:tr>
      <w:tr w:rsidR="009C1B4D" w:rsidRPr="009C1B4D" w:rsidTr="009C1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64051A">
            <w:pPr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ostatní dlouhodobý hmotný majetek</w:t>
            </w:r>
            <w:r w:rsidR="00C10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B4D">
              <w:rPr>
                <w:rFonts w:ascii="Arial" w:hAnsi="Arial" w:cs="Arial"/>
                <w:sz w:val="20"/>
                <w:szCs w:val="20"/>
              </w:rPr>
              <w:t>(účet 029)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15 237,00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6 885,00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4D" w:rsidRPr="009C1B4D" w:rsidRDefault="009C1B4D" w:rsidP="009C1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B4D">
              <w:rPr>
                <w:rFonts w:ascii="Arial" w:hAnsi="Arial" w:cs="Arial"/>
                <w:sz w:val="20"/>
                <w:szCs w:val="20"/>
              </w:rPr>
              <w:t>22 122,00</w:t>
            </w:r>
          </w:p>
        </w:tc>
      </w:tr>
    </w:tbl>
    <w:p w:rsidR="0029409A" w:rsidRDefault="0029409A" w:rsidP="006C4F0A">
      <w:pPr>
        <w:jc w:val="both"/>
        <w:rPr>
          <w:rFonts w:ascii="Arial" w:hAnsi="Arial" w:cs="Arial"/>
          <w:sz w:val="22"/>
          <w:szCs w:val="22"/>
        </w:rPr>
      </w:pPr>
    </w:p>
    <w:p w:rsidR="0029409A" w:rsidRDefault="0029409A" w:rsidP="006C4F0A">
      <w:pPr>
        <w:jc w:val="both"/>
        <w:rPr>
          <w:rFonts w:ascii="Arial" w:hAnsi="Arial" w:cs="Arial"/>
          <w:sz w:val="22"/>
          <w:szCs w:val="22"/>
        </w:rPr>
      </w:pPr>
    </w:p>
    <w:p w:rsidR="00E67DFA" w:rsidRDefault="00E67DFA" w:rsidP="00E67DFA">
      <w:pPr>
        <w:jc w:val="both"/>
        <w:outlineLvl w:val="1"/>
        <w:rPr>
          <w:rFonts w:ascii="Arial" w:hAnsi="Arial" w:cs="Arial"/>
          <w:b/>
          <w:i/>
          <w:sz w:val="28"/>
          <w:szCs w:val="28"/>
        </w:rPr>
      </w:pPr>
      <w:r w:rsidRPr="0006473E">
        <w:rPr>
          <w:rFonts w:ascii="Arial" w:hAnsi="Arial" w:cs="Arial"/>
          <w:b/>
          <w:i/>
          <w:sz w:val="28"/>
          <w:szCs w:val="28"/>
        </w:rPr>
        <w:t>1.</w:t>
      </w:r>
      <w:r>
        <w:rPr>
          <w:rFonts w:ascii="Arial" w:hAnsi="Arial" w:cs="Arial"/>
          <w:b/>
          <w:i/>
          <w:sz w:val="28"/>
          <w:szCs w:val="28"/>
        </w:rPr>
        <w:t>3</w:t>
      </w:r>
      <w:r w:rsidRPr="0006473E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OSTATNÍ</w:t>
      </w:r>
    </w:p>
    <w:p w:rsidR="00E67DFA" w:rsidRDefault="00E67DFA" w:rsidP="00E67DFA">
      <w:pPr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E67DFA" w:rsidRDefault="00E67DFA" w:rsidP="00E67DFA">
      <w:pPr>
        <w:jc w:val="both"/>
        <w:outlineLvl w:val="1"/>
        <w:rPr>
          <w:rFonts w:ascii="Arial" w:hAnsi="Arial" w:cs="Arial"/>
          <w:sz w:val="22"/>
          <w:szCs w:val="28"/>
        </w:rPr>
      </w:pPr>
      <w:r w:rsidRPr="00E67DFA">
        <w:rPr>
          <w:rFonts w:ascii="Arial" w:hAnsi="Arial" w:cs="Arial"/>
          <w:sz w:val="22"/>
          <w:szCs w:val="28"/>
        </w:rPr>
        <w:t xml:space="preserve">Jak již bylo výše </w:t>
      </w:r>
      <w:r>
        <w:rPr>
          <w:rFonts w:ascii="Arial" w:hAnsi="Arial" w:cs="Arial"/>
          <w:sz w:val="22"/>
          <w:szCs w:val="28"/>
        </w:rPr>
        <w:t xml:space="preserve">zmíněno, přílohy k finančnímu vypořádání a k zapojení zůstatku základního běžného účtu z roku 2019 jsou obsaženy v přílohách </w:t>
      </w:r>
      <w:r w:rsidR="00EF3C83">
        <w:rPr>
          <w:rFonts w:ascii="Arial" w:hAnsi="Arial" w:cs="Arial"/>
          <w:sz w:val="22"/>
          <w:szCs w:val="28"/>
        </w:rPr>
        <w:t>B_01 – B_06.</w:t>
      </w:r>
    </w:p>
    <w:p w:rsidR="00E67DFA" w:rsidRDefault="00E67DFA" w:rsidP="00E67DFA">
      <w:pPr>
        <w:jc w:val="both"/>
        <w:outlineLvl w:val="1"/>
        <w:rPr>
          <w:rFonts w:ascii="Arial" w:hAnsi="Arial" w:cs="Arial"/>
          <w:sz w:val="22"/>
          <w:szCs w:val="28"/>
        </w:rPr>
      </w:pPr>
    </w:p>
    <w:p w:rsidR="00E67DFA" w:rsidRDefault="00E67DFA" w:rsidP="00E67DFA">
      <w:pPr>
        <w:jc w:val="both"/>
        <w:outlineLvl w:val="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Oblast příspěvkových organizací obsahují přílohy </w:t>
      </w:r>
      <w:proofErr w:type="spellStart"/>
      <w:r>
        <w:rPr>
          <w:rFonts w:ascii="Arial" w:hAnsi="Arial" w:cs="Arial"/>
          <w:sz w:val="22"/>
          <w:szCs w:val="28"/>
        </w:rPr>
        <w:t>C</w:t>
      </w:r>
      <w:r w:rsidR="00224ED2">
        <w:rPr>
          <w:rFonts w:ascii="Arial" w:hAnsi="Arial" w:cs="Arial"/>
          <w:sz w:val="22"/>
          <w:szCs w:val="28"/>
        </w:rPr>
        <w:t>xxx</w:t>
      </w:r>
      <w:proofErr w:type="spellEnd"/>
      <w:r>
        <w:rPr>
          <w:rFonts w:ascii="Arial" w:hAnsi="Arial" w:cs="Arial"/>
          <w:sz w:val="22"/>
          <w:szCs w:val="28"/>
        </w:rPr>
        <w:t>.</w:t>
      </w:r>
    </w:p>
    <w:p w:rsidR="00E67DFA" w:rsidRDefault="00E67DFA" w:rsidP="00E67DFA">
      <w:pPr>
        <w:jc w:val="both"/>
        <w:outlineLvl w:val="1"/>
        <w:rPr>
          <w:rFonts w:ascii="Arial" w:hAnsi="Arial" w:cs="Arial"/>
          <w:sz w:val="22"/>
          <w:szCs w:val="28"/>
        </w:rPr>
      </w:pPr>
    </w:p>
    <w:p w:rsidR="00A6308E" w:rsidRDefault="00E67DFA" w:rsidP="00E67DFA">
      <w:pPr>
        <w:jc w:val="both"/>
        <w:outlineLvl w:val="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Oblast obchodních společností s většinovým podílem města obsahují přílohy </w:t>
      </w:r>
      <w:proofErr w:type="spellStart"/>
      <w:r>
        <w:rPr>
          <w:rFonts w:ascii="Arial" w:hAnsi="Arial" w:cs="Arial"/>
          <w:sz w:val="22"/>
          <w:szCs w:val="28"/>
        </w:rPr>
        <w:t>D</w:t>
      </w:r>
      <w:r w:rsidR="00224ED2">
        <w:rPr>
          <w:rFonts w:ascii="Arial" w:hAnsi="Arial" w:cs="Arial"/>
          <w:sz w:val="22"/>
          <w:szCs w:val="28"/>
        </w:rPr>
        <w:t>xxx</w:t>
      </w:r>
      <w:proofErr w:type="spellEnd"/>
      <w:r>
        <w:rPr>
          <w:rFonts w:ascii="Arial" w:hAnsi="Arial" w:cs="Arial"/>
          <w:sz w:val="22"/>
          <w:szCs w:val="28"/>
        </w:rPr>
        <w:t>.</w:t>
      </w:r>
      <w:bookmarkStart w:id="9" w:name="_GoBack"/>
      <w:bookmarkEnd w:id="9"/>
    </w:p>
    <w:p w:rsidR="00A6308E" w:rsidRDefault="00A6308E" w:rsidP="00E67DFA">
      <w:pPr>
        <w:jc w:val="both"/>
        <w:outlineLvl w:val="1"/>
        <w:rPr>
          <w:rFonts w:ascii="Arial" w:hAnsi="Arial" w:cs="Arial"/>
          <w:sz w:val="22"/>
          <w:szCs w:val="28"/>
        </w:rPr>
      </w:pPr>
    </w:p>
    <w:p w:rsidR="00A6308E" w:rsidRDefault="00A6308E" w:rsidP="00E67DFA">
      <w:pPr>
        <w:jc w:val="both"/>
        <w:outlineLvl w:val="1"/>
        <w:rPr>
          <w:rFonts w:ascii="Arial" w:hAnsi="Arial" w:cs="Arial"/>
          <w:sz w:val="22"/>
          <w:szCs w:val="28"/>
        </w:rPr>
      </w:pPr>
    </w:p>
    <w:sectPr w:rsidR="00A6308E" w:rsidSect="00A04320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17" w:rsidRDefault="00EB0B17" w:rsidP="00A04320">
      <w:r>
        <w:separator/>
      </w:r>
    </w:p>
  </w:endnote>
  <w:endnote w:type="continuationSeparator" w:id="0">
    <w:p w:rsidR="00EB0B17" w:rsidRDefault="00EB0B17" w:rsidP="00A0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17" w:rsidRDefault="00EB0B17" w:rsidP="00823C9B">
    <w:pPr>
      <w:pStyle w:val="Zpat"/>
    </w:pPr>
    <w:r>
      <w:tab/>
    </w:r>
    <w:sdt>
      <w:sdtPr>
        <w:id w:val="-938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2618">
          <w:rPr>
            <w:noProof/>
          </w:rPr>
          <w:t>- 17 -</w:t>
        </w:r>
        <w:r>
          <w:fldChar w:fldCharType="end"/>
        </w:r>
      </w:sdtContent>
    </w:sdt>
    <w:r>
      <w:tab/>
    </w:r>
    <w:r w:rsidRPr="00823C9B">
      <w:rPr>
        <w:sz w:val="18"/>
      </w:rPr>
      <w:t>zpracovala: Bc. Andrea Hlávková</w:t>
    </w:r>
  </w:p>
  <w:p w:rsidR="00EB0B17" w:rsidRDefault="00EB0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17" w:rsidRDefault="00EB0B17" w:rsidP="00A04320">
      <w:r>
        <w:separator/>
      </w:r>
    </w:p>
  </w:footnote>
  <w:footnote w:type="continuationSeparator" w:id="0">
    <w:p w:rsidR="00EB0B17" w:rsidRDefault="00EB0B17" w:rsidP="00A0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17" w:rsidRPr="00A04320" w:rsidRDefault="006A59BB">
    <w:pPr>
      <w:pStyle w:val="Zhlav"/>
      <w:rPr>
        <w:sz w:val="18"/>
      </w:rPr>
    </w:pPr>
    <w:r>
      <w:rPr>
        <w:sz w:val="18"/>
      </w:rPr>
      <w:t>s</w:t>
    </w:r>
    <w:r w:rsidR="00EB0B17" w:rsidRPr="00A04320">
      <w:rPr>
        <w:sz w:val="18"/>
      </w:rPr>
      <w:t>tatutární město Opava</w:t>
    </w:r>
    <w:r w:rsidR="00EB0B17">
      <w:rPr>
        <w:sz w:val="18"/>
      </w:rPr>
      <w:tab/>
    </w:r>
    <w:r w:rsidR="00EB0B17">
      <w:rPr>
        <w:sz w:val="18"/>
      </w:rPr>
      <w:tab/>
      <w:t>závěrečný účet 2019</w:t>
    </w:r>
  </w:p>
  <w:p w:rsidR="00EB0B17" w:rsidRDefault="00EB0B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482"/>
    <w:multiLevelType w:val="hybridMultilevel"/>
    <w:tmpl w:val="F3ACD8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079F"/>
    <w:multiLevelType w:val="hybridMultilevel"/>
    <w:tmpl w:val="2162F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36C7"/>
    <w:multiLevelType w:val="hybridMultilevel"/>
    <w:tmpl w:val="7ABAA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053"/>
    <w:multiLevelType w:val="hybridMultilevel"/>
    <w:tmpl w:val="061E22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54D7F"/>
    <w:multiLevelType w:val="hybridMultilevel"/>
    <w:tmpl w:val="EB34D5C6"/>
    <w:lvl w:ilvl="0" w:tplc="42089D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71590"/>
    <w:multiLevelType w:val="hybridMultilevel"/>
    <w:tmpl w:val="C5D88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009E"/>
    <w:multiLevelType w:val="hybridMultilevel"/>
    <w:tmpl w:val="28E89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E6EAF"/>
    <w:multiLevelType w:val="hybridMultilevel"/>
    <w:tmpl w:val="6C64C5B0"/>
    <w:lvl w:ilvl="0" w:tplc="96920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B0AF7"/>
    <w:multiLevelType w:val="hybridMultilevel"/>
    <w:tmpl w:val="22B82F22"/>
    <w:lvl w:ilvl="0" w:tplc="3E28F4A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1"/>
    <w:rsid w:val="00017C52"/>
    <w:rsid w:val="00022B10"/>
    <w:rsid w:val="00023933"/>
    <w:rsid w:val="0002461A"/>
    <w:rsid w:val="000443E1"/>
    <w:rsid w:val="000516DD"/>
    <w:rsid w:val="00056A85"/>
    <w:rsid w:val="00067D73"/>
    <w:rsid w:val="0009118B"/>
    <w:rsid w:val="000B64F9"/>
    <w:rsid w:val="000C3841"/>
    <w:rsid w:val="000F31C1"/>
    <w:rsid w:val="000F4106"/>
    <w:rsid w:val="00100863"/>
    <w:rsid w:val="0010225D"/>
    <w:rsid w:val="001025CC"/>
    <w:rsid w:val="00113A3C"/>
    <w:rsid w:val="001212EF"/>
    <w:rsid w:val="0012511B"/>
    <w:rsid w:val="00153699"/>
    <w:rsid w:val="0015695F"/>
    <w:rsid w:val="0016241B"/>
    <w:rsid w:val="001741D9"/>
    <w:rsid w:val="00184DB3"/>
    <w:rsid w:val="001A681F"/>
    <w:rsid w:val="001D7B91"/>
    <w:rsid w:val="00200907"/>
    <w:rsid w:val="00207807"/>
    <w:rsid w:val="0022391B"/>
    <w:rsid w:val="00224ED2"/>
    <w:rsid w:val="002365FC"/>
    <w:rsid w:val="002504E6"/>
    <w:rsid w:val="002856C7"/>
    <w:rsid w:val="0029409A"/>
    <w:rsid w:val="002A17AE"/>
    <w:rsid w:val="002B5CDE"/>
    <w:rsid w:val="002D6927"/>
    <w:rsid w:val="00313DB4"/>
    <w:rsid w:val="00327306"/>
    <w:rsid w:val="00330097"/>
    <w:rsid w:val="00341DD1"/>
    <w:rsid w:val="003479D2"/>
    <w:rsid w:val="00357E0B"/>
    <w:rsid w:val="00394F95"/>
    <w:rsid w:val="003A13DC"/>
    <w:rsid w:val="003A2FD0"/>
    <w:rsid w:val="003A46CE"/>
    <w:rsid w:val="003A62EE"/>
    <w:rsid w:val="003B17FC"/>
    <w:rsid w:val="003E14E6"/>
    <w:rsid w:val="0041086A"/>
    <w:rsid w:val="004171AE"/>
    <w:rsid w:val="00424E0F"/>
    <w:rsid w:val="004276E1"/>
    <w:rsid w:val="00436981"/>
    <w:rsid w:val="00440EC6"/>
    <w:rsid w:val="004561FC"/>
    <w:rsid w:val="004A6C5A"/>
    <w:rsid w:val="004B7C71"/>
    <w:rsid w:val="004C5DF0"/>
    <w:rsid w:val="004D5BB5"/>
    <w:rsid w:val="004E5091"/>
    <w:rsid w:val="00506E85"/>
    <w:rsid w:val="0052458F"/>
    <w:rsid w:val="00544C0E"/>
    <w:rsid w:val="00556F02"/>
    <w:rsid w:val="00566FC9"/>
    <w:rsid w:val="00592FDA"/>
    <w:rsid w:val="005966C8"/>
    <w:rsid w:val="005C3E52"/>
    <w:rsid w:val="005D6F42"/>
    <w:rsid w:val="005D7802"/>
    <w:rsid w:val="006003D4"/>
    <w:rsid w:val="00611AB0"/>
    <w:rsid w:val="00612558"/>
    <w:rsid w:val="00623507"/>
    <w:rsid w:val="0064051A"/>
    <w:rsid w:val="00672E40"/>
    <w:rsid w:val="00682B82"/>
    <w:rsid w:val="006843BE"/>
    <w:rsid w:val="006A59BB"/>
    <w:rsid w:val="006B383A"/>
    <w:rsid w:val="006B5AC8"/>
    <w:rsid w:val="006C2BDD"/>
    <w:rsid w:val="006C4F0A"/>
    <w:rsid w:val="006D08FF"/>
    <w:rsid w:val="006E6737"/>
    <w:rsid w:val="007038F3"/>
    <w:rsid w:val="0070674D"/>
    <w:rsid w:val="007121E2"/>
    <w:rsid w:val="007279BB"/>
    <w:rsid w:val="0076256F"/>
    <w:rsid w:val="00764E5D"/>
    <w:rsid w:val="00771BB1"/>
    <w:rsid w:val="0078007F"/>
    <w:rsid w:val="00782618"/>
    <w:rsid w:val="00784147"/>
    <w:rsid w:val="007844D2"/>
    <w:rsid w:val="007955C7"/>
    <w:rsid w:val="00797EF5"/>
    <w:rsid w:val="007B5B11"/>
    <w:rsid w:val="007C2A22"/>
    <w:rsid w:val="007C3965"/>
    <w:rsid w:val="00806D9F"/>
    <w:rsid w:val="00821B2F"/>
    <w:rsid w:val="00823C9B"/>
    <w:rsid w:val="00831226"/>
    <w:rsid w:val="00842429"/>
    <w:rsid w:val="00844104"/>
    <w:rsid w:val="008569D6"/>
    <w:rsid w:val="00880CD9"/>
    <w:rsid w:val="00890B5D"/>
    <w:rsid w:val="00892C12"/>
    <w:rsid w:val="008A3290"/>
    <w:rsid w:val="008A45BE"/>
    <w:rsid w:val="008A6BD5"/>
    <w:rsid w:val="008B2D8D"/>
    <w:rsid w:val="008C4DA2"/>
    <w:rsid w:val="008C5C47"/>
    <w:rsid w:val="008C70A5"/>
    <w:rsid w:val="008D3682"/>
    <w:rsid w:val="00911218"/>
    <w:rsid w:val="00911FEB"/>
    <w:rsid w:val="009219CB"/>
    <w:rsid w:val="009340C6"/>
    <w:rsid w:val="009512C6"/>
    <w:rsid w:val="009566BD"/>
    <w:rsid w:val="009677FD"/>
    <w:rsid w:val="00980486"/>
    <w:rsid w:val="009A1F60"/>
    <w:rsid w:val="009A69BE"/>
    <w:rsid w:val="009C1B4D"/>
    <w:rsid w:val="00A03BBF"/>
    <w:rsid w:val="00A04320"/>
    <w:rsid w:val="00A05424"/>
    <w:rsid w:val="00A45A62"/>
    <w:rsid w:val="00A53044"/>
    <w:rsid w:val="00A5680C"/>
    <w:rsid w:val="00A60263"/>
    <w:rsid w:val="00A6308E"/>
    <w:rsid w:val="00AB70F5"/>
    <w:rsid w:val="00AC3411"/>
    <w:rsid w:val="00AC43D9"/>
    <w:rsid w:val="00AC5301"/>
    <w:rsid w:val="00B06492"/>
    <w:rsid w:val="00B11C53"/>
    <w:rsid w:val="00B12CC3"/>
    <w:rsid w:val="00B1353A"/>
    <w:rsid w:val="00B26385"/>
    <w:rsid w:val="00B2686B"/>
    <w:rsid w:val="00B40C3E"/>
    <w:rsid w:val="00B41134"/>
    <w:rsid w:val="00B52E14"/>
    <w:rsid w:val="00B91A4B"/>
    <w:rsid w:val="00BA12E3"/>
    <w:rsid w:val="00BA3F3F"/>
    <w:rsid w:val="00BC0D36"/>
    <w:rsid w:val="00BD182B"/>
    <w:rsid w:val="00BD53E2"/>
    <w:rsid w:val="00BF3302"/>
    <w:rsid w:val="00C10292"/>
    <w:rsid w:val="00C17650"/>
    <w:rsid w:val="00C222A9"/>
    <w:rsid w:val="00C83F22"/>
    <w:rsid w:val="00CA058D"/>
    <w:rsid w:val="00CB552C"/>
    <w:rsid w:val="00CC628F"/>
    <w:rsid w:val="00CE596B"/>
    <w:rsid w:val="00CE7AB1"/>
    <w:rsid w:val="00CF1DB3"/>
    <w:rsid w:val="00CF6D03"/>
    <w:rsid w:val="00D20FE0"/>
    <w:rsid w:val="00D50A02"/>
    <w:rsid w:val="00D50DD6"/>
    <w:rsid w:val="00D52F9D"/>
    <w:rsid w:val="00D75796"/>
    <w:rsid w:val="00D76A16"/>
    <w:rsid w:val="00D86C62"/>
    <w:rsid w:val="00D921D3"/>
    <w:rsid w:val="00D94FD3"/>
    <w:rsid w:val="00DC1C0B"/>
    <w:rsid w:val="00DC5E8D"/>
    <w:rsid w:val="00DC60F4"/>
    <w:rsid w:val="00DE077B"/>
    <w:rsid w:val="00DE79CD"/>
    <w:rsid w:val="00DF0A16"/>
    <w:rsid w:val="00E0601F"/>
    <w:rsid w:val="00E067FF"/>
    <w:rsid w:val="00E16DE8"/>
    <w:rsid w:val="00E42E89"/>
    <w:rsid w:val="00E67DFA"/>
    <w:rsid w:val="00E77742"/>
    <w:rsid w:val="00E77777"/>
    <w:rsid w:val="00E91B64"/>
    <w:rsid w:val="00E96F8A"/>
    <w:rsid w:val="00E97A47"/>
    <w:rsid w:val="00EA26F1"/>
    <w:rsid w:val="00EA7F87"/>
    <w:rsid w:val="00EB0B17"/>
    <w:rsid w:val="00EC37B3"/>
    <w:rsid w:val="00EC6C0D"/>
    <w:rsid w:val="00EF3C83"/>
    <w:rsid w:val="00F01C17"/>
    <w:rsid w:val="00F12463"/>
    <w:rsid w:val="00F577CE"/>
    <w:rsid w:val="00FA196C"/>
    <w:rsid w:val="00FA1E95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AEAE8BC-34C6-4E5A-B6F4-B5785D3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79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2A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8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81F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7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_04_vykaz_120_prehled_o_plneni_rozpoctu_2019.pdf" TargetMode="External"/><Relationship Id="rId13" Type="http://schemas.openxmlformats.org/officeDocument/2006/relationships/hyperlink" Target="A_38_rozpoctova_opatreni_schvalena_ZMO_2019.pdf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A_18_2019_prijmy_danove_a_z_hazardu-01.pdf" TargetMode="External"/><Relationship Id="rId34" Type="http://schemas.openxmlformats.org/officeDocument/2006/relationships/hyperlink" Target="A_19_uvery_SMO_31_12_2019.pdf" TargetMode="External"/><Relationship Id="rId7" Type="http://schemas.openxmlformats.org/officeDocument/2006/relationships/hyperlink" Target="A_03_2019_12_FIN_2-12_vykaz_pro_hodnoceni_plneni_rozpoctu.pdf" TargetMode="External"/><Relationship Id="rId12" Type="http://schemas.openxmlformats.org/officeDocument/2006/relationships/hyperlink" Target="A_37_rozpoctova-opatreni_schvalena_RMO_2019.pdf" TargetMode="External"/><Relationship Id="rId17" Type="http://schemas.openxmlformats.org/officeDocument/2006/relationships/hyperlink" Target="A_09_plneni_prijmu_dle_polozek_2019.pdf" TargetMode="External"/><Relationship Id="rId25" Type="http://schemas.openxmlformats.org/officeDocument/2006/relationships/hyperlink" Target="A_26_seznam_prijatych_dotaci_dle_operacnich_programu_EU_2019.pdf" TargetMode="External"/><Relationship Id="rId33" Type="http://schemas.openxmlformats.org/officeDocument/2006/relationships/hyperlink" Target="A_20_zadluzenost_SMO_2019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29" Type="http://schemas.openxmlformats.org/officeDocument/2006/relationships/hyperlink" Target="A_13_cerpani_vydaju_dle_ORG_20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_36_rekapitulace_schvalenych_rozpoctovych_opatreni_2019.pdf" TargetMode="External"/><Relationship Id="rId24" Type="http://schemas.openxmlformats.org/officeDocument/2006/relationships/hyperlink" Target="A_25_seznam_prijatych_dotaci_2019.pdf" TargetMode="External"/><Relationship Id="rId32" Type="http://schemas.openxmlformats.org/officeDocument/2006/relationships/hyperlink" Target="A_07_prijmy_a_vydaje_2016-2019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image" Target="media/image2.png"/><Relationship Id="rId28" Type="http://schemas.openxmlformats.org/officeDocument/2006/relationships/hyperlink" Target="A_11_cerpani_vydaju_dle_polozek_2019.pdf" TargetMode="External"/><Relationship Id="rId36" Type="http://schemas.openxmlformats.org/officeDocument/2006/relationships/footer" Target="footer1.xml"/><Relationship Id="rId10" Type="http://schemas.openxmlformats.org/officeDocument/2006/relationships/hyperlink" Target="A_07_prijmy_a_vydaje_2016-2019.pdf" TargetMode="External"/><Relationship Id="rId19" Type="http://schemas.openxmlformats.org/officeDocument/2006/relationships/chart" Target="charts/chart4.xml"/><Relationship Id="rId31" Type="http://schemas.openxmlformats.org/officeDocument/2006/relationships/hyperlink" Target="A_14_financovani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_08_vysledek_rozpoctoveho_hospodareni_2019.pdf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hyperlink" Target="A_10_cerpani_vydaju_dle_ORJ_2019.pdf" TargetMode="External"/><Relationship Id="rId30" Type="http://schemas.openxmlformats.org/officeDocument/2006/relationships/hyperlink" Target="A_12_cerpani_prijmu_a_vydaju_dle_ODPA_2019.pdf" TargetMode="Externa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lavkovaA\Documents\zav_uc_2019_prac\prac\tabulky_do_textu_z&#225;v&#283;re&#269;n&#233;ho_&#250;&#269;tu_20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lavkovaA\Documents\zav_uc_2019_prac\prac\tabulky_do_textu_z&#225;v&#283;re&#269;n&#233;ho_&#250;&#269;tu_20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lavkovaA\Documents\zav_uc_2019_prac\prac\tabulky_do_textu_z&#225;v&#283;re&#269;n&#233;ho_&#250;&#269;tu_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'2019rozp.hospodaření'!$C$2</c:f>
              <c:strCache>
                <c:ptCount val="1"/>
                <c:pt idx="0">
                  <c:v>rozpočet schválený RS 2018</c:v>
                </c:pt>
              </c:strCache>
            </c:strRef>
          </c:tx>
          <c:invertIfNegative val="0"/>
          <c:cat>
            <c:strRef>
              <c:f>('2019rozp.hospodaření'!$A$3:$B$3,'2019rozp.hospodaření'!$A$5:$B$9,'2019rozp.hospodaření'!$A$11:$B$13,'2019rozp.hospodaření'!$A$15:$B$18)</c:f>
              <c:strCache>
                <c:ptCount val="13"/>
                <c:pt idx="0">
                  <c:v>PŘÍJMY CELKEM</c:v>
                </c:pt>
                <c:pt idx="1">
                  <c:v>daňové příjmy</c:v>
                </c:pt>
                <c:pt idx="2">
                  <c:v>nedaňové příjmy</c:v>
                </c:pt>
                <c:pt idx="3">
                  <c:v>kapitálové příjmy</c:v>
                </c:pt>
                <c:pt idx="4">
                  <c:v>přijaté dotace</c:v>
                </c:pt>
                <c:pt idx="5">
                  <c:v>VÝDAJE CELKEM</c:v>
                </c:pt>
                <c:pt idx="6">
                  <c:v>běžné výdaje</c:v>
                </c:pt>
                <c:pt idx="7">
                  <c:v>kapitálové výdaje</c:v>
                </c:pt>
                <c:pt idx="8">
                  <c:v>FINANCOVÁNÍ CELKEM</c:v>
                </c:pt>
                <c:pt idx="9">
                  <c:v>změna stavu  ZBÚ</c:v>
                </c:pt>
                <c:pt idx="10">
                  <c:v>řízení likvidity</c:v>
                </c:pt>
                <c:pt idx="11">
                  <c:v>přijaté prostředky</c:v>
                </c:pt>
                <c:pt idx="12">
                  <c:v>splátky půjčených prostř. </c:v>
                </c:pt>
              </c:strCache>
            </c:strRef>
          </c:cat>
          <c:val>
            <c:numRef>
              <c:f>('2019rozp.hospodaření'!$C$3,'2019rozp.hospodaření'!$C$5:$C$9,'2019rozp.hospodaření'!$C$11:$C$13,'2019rozp.hospodaření'!$C$15:$C$18)</c:f>
              <c:numCache>
                <c:formatCode>#,##0.00</c:formatCode>
                <c:ptCount val="13"/>
                <c:pt idx="0">
                  <c:v>1083329300</c:v>
                </c:pt>
                <c:pt idx="1">
                  <c:v>895573700</c:v>
                </c:pt>
                <c:pt idx="2">
                  <c:v>112162800</c:v>
                </c:pt>
                <c:pt idx="3">
                  <c:v>13570000</c:v>
                </c:pt>
                <c:pt idx="4">
                  <c:v>62022800</c:v>
                </c:pt>
                <c:pt idx="5">
                  <c:v>1194914400</c:v>
                </c:pt>
                <c:pt idx="6">
                  <c:v>918015000</c:v>
                </c:pt>
                <c:pt idx="7">
                  <c:v>276899400</c:v>
                </c:pt>
                <c:pt idx="8">
                  <c:v>111585100</c:v>
                </c:pt>
                <c:pt idx="9">
                  <c:v>-1856339</c:v>
                </c:pt>
                <c:pt idx="11">
                  <c:v>191522999</c:v>
                </c:pt>
                <c:pt idx="12">
                  <c:v>-78081560</c:v>
                </c:pt>
              </c:numCache>
            </c:numRef>
          </c:val>
        </c:ser>
        <c:ser>
          <c:idx val="1"/>
          <c:order val="1"/>
          <c:tx>
            <c:strRef>
              <c:f>'2019rozp.hospodaření'!$K$2</c:f>
              <c:strCache>
                <c:ptCount val="1"/>
                <c:pt idx="0">
                  <c:v>rozpočet schválený RS 2019</c:v>
                </c:pt>
              </c:strCache>
            </c:strRef>
          </c:tx>
          <c:invertIfNegative val="0"/>
          <c:val>
            <c:numRef>
              <c:f>('2019rozp.hospodaření'!$K$3,'2019rozp.hospodaření'!$K$5:$K$9,'2019rozp.hospodaření'!$K$11:$K$13,'2019rozp.hospodaření'!$K$15:$K$18)</c:f>
              <c:numCache>
                <c:formatCode>#,##0.00</c:formatCode>
                <c:ptCount val="13"/>
                <c:pt idx="0">
                  <c:v>1103311200</c:v>
                </c:pt>
                <c:pt idx="1">
                  <c:v>908093400</c:v>
                </c:pt>
                <c:pt idx="2">
                  <c:v>118023800</c:v>
                </c:pt>
                <c:pt idx="3">
                  <c:v>12070000</c:v>
                </c:pt>
                <c:pt idx="4">
                  <c:v>65124000</c:v>
                </c:pt>
                <c:pt idx="5">
                  <c:v>1069791200</c:v>
                </c:pt>
                <c:pt idx="6">
                  <c:v>974324800</c:v>
                </c:pt>
                <c:pt idx="7">
                  <c:v>95466400</c:v>
                </c:pt>
                <c:pt idx="8">
                  <c:v>-33520000</c:v>
                </c:pt>
                <c:pt idx="9">
                  <c:v>-3520000</c:v>
                </c:pt>
                <c:pt idx="10">
                  <c:v>0</c:v>
                </c:pt>
                <c:pt idx="11">
                  <c:v>0</c:v>
                </c:pt>
                <c:pt idx="12">
                  <c:v>-30000000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33584"/>
        <c:axId val="118734760"/>
        <c:axId val="0"/>
      </c:bar3DChart>
      <c:catAx>
        <c:axId val="11873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34760"/>
        <c:crosses val="autoZero"/>
        <c:auto val="1"/>
        <c:lblAlgn val="ctr"/>
        <c:lblOffset val="100"/>
        <c:noMultiLvlLbl val="0"/>
      </c:catAx>
      <c:valAx>
        <c:axId val="11873476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33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804787332617906"/>
          <c:y val="2.8252405949256341E-2"/>
          <c:w val="0.5123406125958393"/>
          <c:h val="0.52544072615923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'2019rozp.hospodaření'!$D$2</c:f>
              <c:strCache>
                <c:ptCount val="1"/>
                <c:pt idx="0">
                  <c:v>rozpočet upravený RU 2018</c:v>
                </c:pt>
              </c:strCache>
            </c:strRef>
          </c:tx>
          <c:invertIfNegative val="0"/>
          <c:cat>
            <c:strRef>
              <c:f>('2019rozp.hospodaření'!$A$3:$B$3,'2019rozp.hospodaření'!$A$5:$B$9,'2019rozp.hospodaření'!$A$11:$B$13,'2019rozp.hospodaření'!$A$15:$B$18)</c:f>
              <c:strCache>
                <c:ptCount val="13"/>
                <c:pt idx="0">
                  <c:v>PŘÍJMY CELKEM</c:v>
                </c:pt>
                <c:pt idx="1">
                  <c:v>daňové příjmy</c:v>
                </c:pt>
                <c:pt idx="2">
                  <c:v>nedaňové příjmy</c:v>
                </c:pt>
                <c:pt idx="3">
                  <c:v>kapitálové příjmy</c:v>
                </c:pt>
                <c:pt idx="4">
                  <c:v>přijaté dotace</c:v>
                </c:pt>
                <c:pt idx="5">
                  <c:v>VÝDAJE CELKEM</c:v>
                </c:pt>
                <c:pt idx="6">
                  <c:v>běžné výdaje</c:v>
                </c:pt>
                <c:pt idx="7">
                  <c:v>kapitálové výdaje</c:v>
                </c:pt>
                <c:pt idx="8">
                  <c:v>FINANCOVÁNÍ CELKEM</c:v>
                </c:pt>
                <c:pt idx="9">
                  <c:v>změna stavu  ZBÚ</c:v>
                </c:pt>
                <c:pt idx="10">
                  <c:v>řízení likvidity</c:v>
                </c:pt>
                <c:pt idx="11">
                  <c:v>přijaté prostředky</c:v>
                </c:pt>
                <c:pt idx="12">
                  <c:v>splátky půjčených prostř. </c:v>
                </c:pt>
              </c:strCache>
            </c:strRef>
          </c:cat>
          <c:val>
            <c:numRef>
              <c:f>('2019rozp.hospodaření'!$D$3,'2019rozp.hospodaření'!$D$5:$D$9,'2019rozp.hospodaření'!$D$11:$D$13,'2019rozp.hospodaření'!$D$15:$D$18)</c:f>
              <c:numCache>
                <c:formatCode>#,##0.00</c:formatCode>
                <c:ptCount val="13"/>
                <c:pt idx="0">
                  <c:v>1264227482.9300001</c:v>
                </c:pt>
                <c:pt idx="1">
                  <c:v>936482844.71000004</c:v>
                </c:pt>
                <c:pt idx="2">
                  <c:v>124823999.5</c:v>
                </c:pt>
                <c:pt idx="3">
                  <c:v>20587705</c:v>
                </c:pt>
                <c:pt idx="4">
                  <c:v>182332933.72</c:v>
                </c:pt>
                <c:pt idx="5">
                  <c:v>2049911426.1900001</c:v>
                </c:pt>
                <c:pt idx="6">
                  <c:v>1085681497.8900001</c:v>
                </c:pt>
                <c:pt idx="7">
                  <c:v>964229928.29999995</c:v>
                </c:pt>
                <c:pt idx="8">
                  <c:v>785683943.25999999</c:v>
                </c:pt>
                <c:pt idx="9">
                  <c:v>515282992.85000002</c:v>
                </c:pt>
                <c:pt idx="11">
                  <c:v>469729995.23000002</c:v>
                </c:pt>
                <c:pt idx="12">
                  <c:v>-199329044.81999999</c:v>
                </c:pt>
              </c:numCache>
            </c:numRef>
          </c:val>
        </c:ser>
        <c:ser>
          <c:idx val="1"/>
          <c:order val="1"/>
          <c:tx>
            <c:strRef>
              <c:f>'2019rozp.hospodaření'!$L$2</c:f>
              <c:strCache>
                <c:ptCount val="1"/>
                <c:pt idx="0">
                  <c:v>rozpočet upravený RU 2019</c:v>
                </c:pt>
              </c:strCache>
            </c:strRef>
          </c:tx>
          <c:invertIfNegative val="0"/>
          <c:val>
            <c:numRef>
              <c:f>('2019rozp.hospodaření'!$L$3,'2019rozp.hospodaření'!$L$5:$L$9,'2019rozp.hospodaření'!$L$11:$L$13,'2019rozp.hospodaření'!$L$15:$L$18)</c:f>
              <c:numCache>
                <c:formatCode>#,##0.00</c:formatCode>
                <c:ptCount val="13"/>
                <c:pt idx="0">
                  <c:v>1350357652.1100001</c:v>
                </c:pt>
                <c:pt idx="1">
                  <c:v>902322800</c:v>
                </c:pt>
                <c:pt idx="2">
                  <c:v>261355147.93000001</c:v>
                </c:pt>
                <c:pt idx="3">
                  <c:v>12113249</c:v>
                </c:pt>
                <c:pt idx="4">
                  <c:v>174566455.18000001</c:v>
                </c:pt>
                <c:pt idx="5">
                  <c:v>1750712627.53</c:v>
                </c:pt>
                <c:pt idx="6">
                  <c:v>1153534490.8</c:v>
                </c:pt>
                <c:pt idx="7">
                  <c:v>597178136.73000002</c:v>
                </c:pt>
                <c:pt idx="8">
                  <c:v>400354975.41999996</c:v>
                </c:pt>
                <c:pt idx="9">
                  <c:v>409189098.88999999</c:v>
                </c:pt>
                <c:pt idx="10">
                  <c:v>0</c:v>
                </c:pt>
                <c:pt idx="11">
                  <c:v>188937210.28999999</c:v>
                </c:pt>
                <c:pt idx="12">
                  <c:v>-197771333.75999999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36328"/>
        <c:axId val="118730840"/>
        <c:axId val="0"/>
      </c:bar3DChart>
      <c:catAx>
        <c:axId val="118736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30840"/>
        <c:crosses val="autoZero"/>
        <c:auto val="1"/>
        <c:lblAlgn val="ctr"/>
        <c:lblOffset val="100"/>
        <c:noMultiLvlLbl val="0"/>
      </c:catAx>
      <c:valAx>
        <c:axId val="1187308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36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64602367555453"/>
          <c:y val="0.4184399578207868"/>
          <c:w val="0.25020367234888957"/>
          <c:h val="0.1618681707339774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46968503937008"/>
          <c:y val="0.10232648002333042"/>
          <c:w val="0.48202624671916011"/>
          <c:h val="0.536975794692330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'2019rozp.hospodaření'!$E$2</c:f>
              <c:strCache>
                <c:ptCount val="1"/>
                <c:pt idx="0">
                  <c:v>skutečnost 2018</c:v>
                </c:pt>
              </c:strCache>
            </c:strRef>
          </c:tx>
          <c:invertIfNegative val="0"/>
          <c:cat>
            <c:strRef>
              <c:f>('2019rozp.hospodaření'!$A$3:$B$3,'2019rozp.hospodaření'!$A$5:$B$9,'2019rozp.hospodaření'!$A$11:$B$13,'2019rozp.hospodaření'!$A$15:$B$18)</c:f>
              <c:strCache>
                <c:ptCount val="13"/>
                <c:pt idx="0">
                  <c:v>PŘÍJMY CELKEM</c:v>
                </c:pt>
                <c:pt idx="1">
                  <c:v>daňové příjmy</c:v>
                </c:pt>
                <c:pt idx="2">
                  <c:v>nedaňové příjmy</c:v>
                </c:pt>
                <c:pt idx="3">
                  <c:v>kapitálové příjmy</c:v>
                </c:pt>
                <c:pt idx="4">
                  <c:v>přijaté dotace</c:v>
                </c:pt>
                <c:pt idx="5">
                  <c:v>VÝDAJE CELKEM</c:v>
                </c:pt>
                <c:pt idx="6">
                  <c:v>běžné výdaje</c:v>
                </c:pt>
                <c:pt idx="7">
                  <c:v>kapitálové výdaje</c:v>
                </c:pt>
                <c:pt idx="8">
                  <c:v>FINANCOVÁNÍ CELKEM</c:v>
                </c:pt>
                <c:pt idx="9">
                  <c:v>změna stavu  ZBÚ</c:v>
                </c:pt>
                <c:pt idx="10">
                  <c:v>řízení likvidity</c:v>
                </c:pt>
                <c:pt idx="11">
                  <c:v>přijaté prostředky</c:v>
                </c:pt>
                <c:pt idx="12">
                  <c:v>splátky půjčených prostř. </c:v>
                </c:pt>
              </c:strCache>
            </c:strRef>
          </c:cat>
          <c:val>
            <c:numRef>
              <c:f>('2019rozp.hospodaření'!$E$3,'2019rozp.hospodaření'!$E$5:$E$9,'2019rozp.hospodaření'!$E$11:$E$13,'2019rozp.hospodaření'!$E$15:$E$18)</c:f>
              <c:numCache>
                <c:formatCode>#,##0.00</c:formatCode>
                <c:ptCount val="13"/>
                <c:pt idx="0">
                  <c:v>1355962749.9000001</c:v>
                </c:pt>
                <c:pt idx="1">
                  <c:v>1018857484.83</c:v>
                </c:pt>
                <c:pt idx="2">
                  <c:v>136614941.74000001</c:v>
                </c:pt>
                <c:pt idx="3">
                  <c:v>18572616.609999999</c:v>
                </c:pt>
                <c:pt idx="4">
                  <c:v>181917706.72</c:v>
                </c:pt>
                <c:pt idx="5">
                  <c:v>1456151327.72</c:v>
                </c:pt>
                <c:pt idx="6">
                  <c:v>976751441.26999998</c:v>
                </c:pt>
                <c:pt idx="7">
                  <c:v>479399886.44999999</c:v>
                </c:pt>
                <c:pt idx="8">
                  <c:v>100188577.81999996</c:v>
                </c:pt>
                <c:pt idx="9">
                  <c:v>232037334.31999999</c:v>
                </c:pt>
                <c:pt idx="10">
                  <c:v>-150000000</c:v>
                </c:pt>
                <c:pt idx="11">
                  <c:v>216921849.84999999</c:v>
                </c:pt>
                <c:pt idx="12">
                  <c:v>-198770606.34999999</c:v>
                </c:pt>
              </c:numCache>
            </c:numRef>
          </c:val>
        </c:ser>
        <c:ser>
          <c:idx val="1"/>
          <c:order val="1"/>
          <c:tx>
            <c:strRef>
              <c:f>'2019rozp.hospodaření'!$M$2</c:f>
              <c:strCache>
                <c:ptCount val="1"/>
                <c:pt idx="0">
                  <c:v>skutečnost 2019</c:v>
                </c:pt>
              </c:strCache>
            </c:strRef>
          </c:tx>
          <c:invertIfNegative val="0"/>
          <c:val>
            <c:numRef>
              <c:f>('2019rozp.hospodaření'!$M$3,'2019rozp.hospodaření'!$M$5:$M$9,'2019rozp.hospodaření'!$M$11:$M$13,'2019rozp.hospodaření'!$M$15:$M$18)</c:f>
              <c:numCache>
                <c:formatCode>#,##0.00</c:formatCode>
                <c:ptCount val="13"/>
                <c:pt idx="0">
                  <c:v>1524140407.03</c:v>
                </c:pt>
                <c:pt idx="1">
                  <c:v>1063035923.0599999</c:v>
                </c:pt>
                <c:pt idx="2">
                  <c:v>271811022.08999997</c:v>
                </c:pt>
                <c:pt idx="3">
                  <c:v>14773504.699999999</c:v>
                </c:pt>
                <c:pt idx="4">
                  <c:v>174519957.18000001</c:v>
                </c:pt>
                <c:pt idx="5">
                  <c:v>1381291549.75</c:v>
                </c:pt>
                <c:pt idx="6">
                  <c:v>1052336462.84</c:v>
                </c:pt>
                <c:pt idx="7">
                  <c:v>328955086.91000003</c:v>
                </c:pt>
                <c:pt idx="8">
                  <c:v>-142848857.27999997</c:v>
                </c:pt>
                <c:pt idx="9">
                  <c:v>-75012336.079999998</c:v>
                </c:pt>
                <c:pt idx="10">
                  <c:v>0</c:v>
                </c:pt>
                <c:pt idx="11">
                  <c:v>129934812.56</c:v>
                </c:pt>
                <c:pt idx="12">
                  <c:v>-197771333.75999999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32408"/>
        <c:axId val="118728880"/>
        <c:axId val="0"/>
      </c:bar3DChart>
      <c:catAx>
        <c:axId val="118732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28880"/>
        <c:crosses val="autoZero"/>
        <c:auto val="1"/>
        <c:lblAlgn val="ctr"/>
        <c:lblOffset val="100"/>
        <c:noMultiLvlLbl val="0"/>
      </c:catAx>
      <c:valAx>
        <c:axId val="1187288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8732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970670872506102"/>
          <c:y val="0.4184399578207868"/>
          <c:w val="0.1622162795688275"/>
          <c:h val="0.1618681707339774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('2018daňové příjmy'!$D$1,'2018daňové příjmy'!$G$1,'2018daňové příjmy'!$H$1)</c:f>
              <c:strCache>
                <c:ptCount val="3"/>
                <c:pt idx="0">
                  <c:v>skutečnost 2019</c:v>
                </c:pt>
                <c:pt idx="1">
                  <c:v>skutečnost 2018</c:v>
                </c:pt>
                <c:pt idx="2">
                  <c:v>skutečnost 2017</c:v>
                </c:pt>
              </c:strCache>
            </c:strRef>
          </c:cat>
          <c:val>
            <c:numRef>
              <c:f>('2018daňové příjmy'!$D$16,'2018daňové příjmy'!$G$16,'2018daňové příjmy'!$H$16)</c:f>
              <c:numCache>
                <c:formatCode>#,##0.00</c:formatCode>
                <c:ptCount val="3"/>
                <c:pt idx="0">
                  <c:v>47424096.899999999</c:v>
                </c:pt>
                <c:pt idx="1">
                  <c:v>52460550.859999999</c:v>
                </c:pt>
                <c:pt idx="2">
                  <c:v>66525466.520000003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29272"/>
        <c:axId val="118732016"/>
        <c:axId val="0"/>
      </c:bar3DChart>
      <c:catAx>
        <c:axId val="118729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732016"/>
        <c:crosses val="autoZero"/>
        <c:auto val="1"/>
        <c:lblAlgn val="ctr"/>
        <c:lblOffset val="100"/>
        <c:noMultiLvlLbl val="0"/>
      </c:catAx>
      <c:valAx>
        <c:axId val="11873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729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('2018daňové příjmy'!$D$1,'2018daňové příjmy'!$G$1,'2018daňové příjmy'!$H$1)</c:f>
              <c:strCache>
                <c:ptCount val="3"/>
                <c:pt idx="0">
                  <c:v>skutečnost 2019</c:v>
                </c:pt>
                <c:pt idx="1">
                  <c:v>skutečnost 2018</c:v>
                </c:pt>
                <c:pt idx="2">
                  <c:v>skutečnost 2017</c:v>
                </c:pt>
              </c:strCache>
            </c:strRef>
          </c:cat>
          <c:val>
            <c:numRef>
              <c:f>('2018daňové příjmy'!$D$17,'2018daňové příjmy'!$G$17,'2018daňové příjmy'!$H$17)</c:f>
              <c:numCache>
                <c:formatCode>#,##0.00</c:formatCode>
                <c:ptCount val="3"/>
                <c:pt idx="0">
                  <c:v>66247255.890000001</c:v>
                </c:pt>
                <c:pt idx="1">
                  <c:v>65138778.770000003</c:v>
                </c:pt>
                <c:pt idx="2">
                  <c:v>65266243.310000002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18733976"/>
        <c:axId val="118734368"/>
      </c:barChart>
      <c:catAx>
        <c:axId val="118733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734368"/>
        <c:crosses val="autoZero"/>
        <c:auto val="1"/>
        <c:lblAlgn val="ctr"/>
        <c:lblOffset val="100"/>
        <c:noMultiLvlLbl val="0"/>
      </c:catAx>
      <c:valAx>
        <c:axId val="1187343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733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('2019nedaňové příjmy'!$D$1,'2019nedaňové příjmy'!$F$1,'2019nedaňové příjmy'!$G$1)</c:f>
              <c:strCache>
                <c:ptCount val="3"/>
                <c:pt idx="0">
                  <c:v>skutečnost 2019</c:v>
                </c:pt>
                <c:pt idx="1">
                  <c:v>skutečnost 2018</c:v>
                </c:pt>
                <c:pt idx="2">
                  <c:v>skutečnost 2017</c:v>
                </c:pt>
              </c:strCache>
            </c:strRef>
          </c:cat>
          <c:val>
            <c:numRef>
              <c:f>('2019nedaňové příjmy'!$D$14,'2019nedaňové příjmy'!$F$14,'2019nedaňové příjmy'!$G$14)</c:f>
              <c:numCache>
                <c:formatCode>#,##0.00</c:formatCode>
                <c:ptCount val="3"/>
                <c:pt idx="0">
                  <c:v>271811022.09000003</c:v>
                </c:pt>
                <c:pt idx="1">
                  <c:v>136614941.74000001</c:v>
                </c:pt>
                <c:pt idx="2">
                  <c:v>134217737.81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375936"/>
        <c:axId val="170378680"/>
      </c:barChart>
      <c:catAx>
        <c:axId val="1703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0378680"/>
        <c:crosses val="autoZero"/>
        <c:auto val="1"/>
        <c:lblAlgn val="ctr"/>
        <c:lblOffset val="100"/>
        <c:noMultiLvlLbl val="0"/>
      </c:catAx>
      <c:valAx>
        <c:axId val="17037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037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17</Pages>
  <Words>6094</Words>
  <Characters>35958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Andrea</dc:creator>
  <cp:keywords/>
  <dc:description/>
  <cp:lastModifiedBy>Hlávková Andrea</cp:lastModifiedBy>
  <cp:revision>173</cp:revision>
  <dcterms:created xsi:type="dcterms:W3CDTF">2020-05-05T13:53:00Z</dcterms:created>
  <dcterms:modified xsi:type="dcterms:W3CDTF">2020-05-28T07:42:00Z</dcterms:modified>
</cp:coreProperties>
</file>