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20204F" w:rsidP="0020204F">
            <w:pPr>
              <w:pStyle w:val="Smrnice"/>
            </w:pPr>
            <w:r w:rsidRPr="0020204F">
              <w:t>Zásady rozpočtového hospodaření městských částí</w:t>
            </w:r>
            <w:r>
              <w:t xml:space="preserve"> STATUTÁRNÍHO MĚSTA oPAVY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Default="0020204F" w:rsidP="00632CD0">
            <w:pPr>
              <w:pStyle w:val="stranalev"/>
              <w:rPr>
                <w:sz w:val="24"/>
                <w:szCs w:val="24"/>
              </w:rPr>
            </w:pPr>
            <w:r w:rsidRPr="0020204F">
              <w:rPr>
                <w:sz w:val="24"/>
                <w:szCs w:val="24"/>
              </w:rPr>
              <w:t>Příloha č. 3</w:t>
            </w:r>
          </w:p>
          <w:p w:rsidR="0020204F" w:rsidRPr="0020204F" w:rsidRDefault="0020204F" w:rsidP="00632CD0">
            <w:pPr>
              <w:pStyle w:val="stranalev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Statutu statutárního města Opavy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20204F" w:rsidP="00632CD0">
            <w:pPr>
              <w:pStyle w:val="stranaprav"/>
            </w:pPr>
            <w:proofErr w:type="gramStart"/>
            <w:r>
              <w:t>1.1.2016</w:t>
            </w:r>
            <w:proofErr w:type="gramEnd"/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0145D" w:rsidP="0020204F">
            <w:pPr>
              <w:pStyle w:val="stranaprav"/>
            </w:pPr>
            <w:r>
              <w:t>o</w:t>
            </w:r>
            <w:bookmarkStart w:id="0" w:name="_GoBack"/>
            <w:bookmarkEnd w:id="0"/>
            <w:r w:rsidR="0020204F">
              <w:t>dbor finanční a rozpočtový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20204F" w:rsidRPr="0020204F" w:rsidRDefault="00022C2A" w:rsidP="0020204F">
      <w:p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>
        <w:br w:type="page"/>
      </w:r>
      <w:r w:rsidR="0020204F" w:rsidRPr="00C75A5C">
        <w:lastRenderedPageBreak/>
        <w:t xml:space="preserve"> </w:t>
      </w:r>
      <w:r w:rsidR="0020204F" w:rsidRPr="0020204F">
        <w:rPr>
          <w:rFonts w:ascii="Times New Roman" w:eastAsia="Times New Roman" w:hAnsi="Times New Roman"/>
          <w:b/>
          <w:bCs/>
          <w:sz w:val="24"/>
          <w:lang w:eastAsia="cs-CZ"/>
        </w:rPr>
        <w:t>A. Příjmy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20204F">
        <w:rPr>
          <w:rFonts w:ascii="Times New Roman" w:eastAsia="Times New Roman" w:hAnsi="Times New Roman"/>
          <w:b/>
          <w:bCs/>
          <w:sz w:val="24"/>
          <w:lang w:eastAsia="cs-CZ"/>
        </w:rPr>
        <w:t xml:space="preserve">   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b/>
          <w:bCs/>
          <w:sz w:val="24"/>
          <w:lang w:eastAsia="cs-CZ"/>
        </w:rPr>
        <w:t xml:space="preserve">  </w:t>
      </w:r>
      <w:r w:rsidRPr="0020204F">
        <w:rPr>
          <w:rFonts w:ascii="Times New Roman" w:eastAsia="Times New Roman" w:hAnsi="Times New Roman"/>
          <w:sz w:val="24"/>
          <w:lang w:eastAsia="cs-CZ"/>
        </w:rPr>
        <w:t xml:space="preserve">Příjmy městských částí (dále jen </w:t>
      </w:r>
      <w:r>
        <w:rPr>
          <w:rFonts w:ascii="Times New Roman" w:eastAsia="Times New Roman" w:hAnsi="Times New Roman"/>
          <w:sz w:val="24"/>
          <w:lang w:eastAsia="cs-CZ"/>
        </w:rPr>
        <w:t>„</w:t>
      </w:r>
      <w:r w:rsidRPr="0020204F">
        <w:rPr>
          <w:rFonts w:ascii="Times New Roman" w:eastAsia="Times New Roman" w:hAnsi="Times New Roman"/>
          <w:sz w:val="24"/>
          <w:lang w:eastAsia="cs-CZ"/>
        </w:rPr>
        <w:t>MČ</w:t>
      </w:r>
      <w:r>
        <w:rPr>
          <w:rFonts w:ascii="Times New Roman" w:eastAsia="Times New Roman" w:hAnsi="Times New Roman"/>
          <w:sz w:val="24"/>
          <w:lang w:eastAsia="cs-CZ"/>
        </w:rPr>
        <w:t>“</w:t>
      </w:r>
      <w:r w:rsidRPr="0020204F">
        <w:rPr>
          <w:rFonts w:ascii="Times New Roman" w:eastAsia="Times New Roman" w:hAnsi="Times New Roman"/>
          <w:sz w:val="24"/>
          <w:lang w:eastAsia="cs-CZ"/>
        </w:rPr>
        <w:t>) jsou tvořeny dvěma hlavními zdroji:</w:t>
      </w:r>
    </w:p>
    <w:p w:rsidR="0020204F" w:rsidRPr="0020204F" w:rsidRDefault="0020204F" w:rsidP="0020204F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Podíl na daňových příjmech města</w:t>
      </w:r>
    </w:p>
    <w:p w:rsidR="0020204F" w:rsidRPr="0020204F" w:rsidRDefault="0020204F" w:rsidP="0020204F">
      <w:pPr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Vlastní příjmy</w:t>
      </w:r>
      <w:r>
        <w:rPr>
          <w:rFonts w:ascii="Times New Roman" w:eastAsia="Times New Roman" w:hAnsi="Times New Roman"/>
          <w:sz w:val="24"/>
          <w:lang w:eastAsia="cs-CZ"/>
        </w:rPr>
        <w:t>.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   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u w:val="single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ad 1) </w:t>
      </w:r>
      <w:r w:rsidRPr="0020204F">
        <w:rPr>
          <w:rFonts w:ascii="Times New Roman" w:eastAsia="Times New Roman" w:hAnsi="Times New Roman"/>
          <w:sz w:val="24"/>
          <w:u w:val="single"/>
          <w:lang w:eastAsia="cs-CZ"/>
        </w:rPr>
        <w:t>Podíl na daňových příjmech je stanoven tímto postupem:</w:t>
      </w:r>
    </w:p>
    <w:p w:rsidR="0020204F" w:rsidRPr="0020204F" w:rsidRDefault="0020204F" w:rsidP="0020204F">
      <w:pPr>
        <w:ind w:left="300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MČ se podílí na daňových příjmech vyjmenovaných v § 4 odst. 1. zákona č. 243/2000  Sb</w:t>
      </w: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., o rozpočtovém určení daní, v</w:t>
      </w:r>
      <w:r w:rsidR="00925977">
        <w:rPr>
          <w:rFonts w:ascii="Times New Roman" w:eastAsia="Times New Roman" w:hAnsi="Times New Roman"/>
          <w:color w:val="000000"/>
          <w:sz w:val="24"/>
          <w:lang w:eastAsia="cs-CZ"/>
        </w:rPr>
        <w:t>e</w:t>
      </w: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 znění</w:t>
      </w:r>
      <w:r w:rsidR="00925977">
        <w:rPr>
          <w:rFonts w:ascii="Times New Roman" w:eastAsia="Times New Roman" w:hAnsi="Times New Roman"/>
          <w:color w:val="000000"/>
          <w:sz w:val="24"/>
          <w:lang w:eastAsia="cs-CZ"/>
        </w:rPr>
        <w:t xml:space="preserve"> pozdějších předpisů</w:t>
      </w: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, vyjma</w:t>
      </w:r>
      <w:r w:rsidRPr="0020204F">
        <w:rPr>
          <w:rFonts w:ascii="Times New Roman" w:eastAsia="Times New Roman" w:hAnsi="Times New Roman"/>
          <w:sz w:val="24"/>
          <w:lang w:eastAsia="cs-CZ"/>
        </w:rPr>
        <w:t xml:space="preserve"> písm. a) - výnos daně z</w:t>
      </w:r>
      <w:r w:rsidR="00677F4F">
        <w:rPr>
          <w:rFonts w:ascii="Times New Roman" w:eastAsia="Times New Roman" w:hAnsi="Times New Roman"/>
          <w:sz w:val="24"/>
          <w:lang w:eastAsia="cs-CZ"/>
        </w:rPr>
        <w:t> </w:t>
      </w:r>
      <w:r w:rsidRPr="0020204F">
        <w:rPr>
          <w:rFonts w:ascii="Times New Roman" w:eastAsia="Times New Roman" w:hAnsi="Times New Roman"/>
          <w:sz w:val="24"/>
          <w:lang w:eastAsia="cs-CZ"/>
        </w:rPr>
        <w:t>nemovitostí</w:t>
      </w:r>
      <w:r w:rsidR="00677F4F">
        <w:rPr>
          <w:rFonts w:ascii="Times New Roman" w:eastAsia="Times New Roman" w:hAnsi="Times New Roman"/>
          <w:sz w:val="24"/>
          <w:lang w:eastAsia="cs-CZ"/>
        </w:rPr>
        <w:t xml:space="preserve"> </w:t>
      </w:r>
      <w:r w:rsidRPr="0020204F">
        <w:rPr>
          <w:rFonts w:ascii="Times New Roman" w:eastAsia="Times New Roman" w:hAnsi="Times New Roman"/>
          <w:sz w:val="24"/>
          <w:lang w:eastAsia="cs-CZ"/>
        </w:rPr>
        <w:t>a písm. h) - daň  z příjmů právnických osob placená obcí.</w:t>
      </w:r>
    </w:p>
    <w:p w:rsidR="0020204F" w:rsidRPr="0020204F" w:rsidRDefault="0020204F" w:rsidP="0020204F">
      <w:pPr>
        <w:ind w:left="300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Výsledný rozpočet na podílech ze sdílených daní pro městské části na aktuální rok vychází ze skutečně obdrženého výnosu těchto daní dle písm. a) města celkem v roce minus dva roky od roku, na který se rozpočet připravuje a procentuálním podílem obyvatel MČ k celkovému počtu obyvatel Opavy celkem: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b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1.</w:t>
      </w:r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 PPOMČ = POMČ∑</w:t>
      </w:r>
      <w:r w:rsidRPr="0020204F">
        <w:rPr>
          <w:rFonts w:ascii="Times New Roman" w:eastAsia="Times New Roman" w:hAnsi="Times New Roman"/>
          <w:sz w:val="24"/>
          <w:lang w:eastAsia="cs-CZ"/>
        </w:rPr>
        <w:t xml:space="preserve"> </w:t>
      </w:r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/ PO Opava ∑ </w:t>
      </w:r>
      <w:r w:rsidRPr="0020204F">
        <w:rPr>
          <w:rFonts w:ascii="Times New Roman" w:eastAsia="Times New Roman" w:hAnsi="Times New Roman"/>
          <w:sz w:val="24"/>
          <w:lang w:eastAsia="cs-CZ"/>
        </w:rPr>
        <w:t>(k 31. 12. minus dva roky od roku, roku, na který se rozpočet připravuje)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i/>
          <w:sz w:val="24"/>
          <w:lang w:eastAsia="cs-CZ"/>
        </w:rPr>
      </w:pPr>
      <w:r w:rsidRPr="0020204F">
        <w:rPr>
          <w:rFonts w:ascii="Times New Roman" w:eastAsia="Times New Roman" w:hAnsi="Times New Roman"/>
          <w:i/>
          <w:sz w:val="24"/>
          <w:lang w:eastAsia="cs-CZ"/>
        </w:rPr>
        <w:t>Procentuální Podíl Obyvatel Městských Částí = Počet Obyvatel Městských Částí Celkem / Počtu Obyvatel Opavy Celkem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b/>
          <w:sz w:val="24"/>
          <w:lang w:eastAsia="cs-CZ"/>
        </w:rPr>
      </w:pP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2. </w:t>
      </w:r>
      <w:r w:rsidRPr="0020204F">
        <w:rPr>
          <w:rFonts w:ascii="Times New Roman" w:eastAsia="Times New Roman" w:hAnsi="Times New Roman"/>
          <w:b/>
          <w:sz w:val="24"/>
          <w:lang w:eastAsia="cs-CZ"/>
        </w:rPr>
        <w:t>PVSDMČ = PPOMČ x SVSDMO</w:t>
      </w:r>
      <w:r w:rsidRPr="0020204F">
        <w:rPr>
          <w:rFonts w:ascii="Times New Roman" w:eastAsia="Times New Roman" w:hAnsi="Times New Roman"/>
          <w:sz w:val="24"/>
          <w:lang w:eastAsia="cs-CZ"/>
        </w:rPr>
        <w:t xml:space="preserve"> (v roce minus dva roky od roku aktuální přípravy rozpočtu)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i/>
          <w:sz w:val="24"/>
          <w:lang w:eastAsia="cs-CZ"/>
        </w:rPr>
      </w:pPr>
      <w:r w:rsidRPr="0020204F">
        <w:rPr>
          <w:rFonts w:ascii="Times New Roman" w:eastAsia="Times New Roman" w:hAnsi="Times New Roman"/>
          <w:i/>
          <w:sz w:val="24"/>
          <w:lang w:eastAsia="cs-CZ"/>
        </w:rPr>
        <w:t>Podíl Výnosu Sdílených Daní Městských Částí = Procentuální Podíl Obyvatel Městské Části x Skutečné Výnosy Sdílených Daní Města Opavy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Procentuální podíl pro všechny MČ z tohoto výnosu: </w:t>
      </w:r>
      <w:r w:rsidRPr="0020204F">
        <w:rPr>
          <w:rFonts w:ascii="Times New Roman" w:eastAsia="Times New Roman" w:hAnsi="Times New Roman"/>
          <w:b/>
          <w:sz w:val="24"/>
          <w:lang w:eastAsia="cs-CZ"/>
        </w:rPr>
        <w:t>45%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b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</w:t>
      </w:r>
      <w:proofErr w:type="spellStart"/>
      <w:r w:rsidRPr="0020204F">
        <w:rPr>
          <w:rFonts w:ascii="Times New Roman" w:eastAsia="Times New Roman" w:hAnsi="Times New Roman"/>
          <w:b/>
          <w:sz w:val="24"/>
          <w:lang w:eastAsia="cs-CZ"/>
        </w:rPr>
        <w:t>RoMČ</w:t>
      </w:r>
      <w:proofErr w:type="spellEnd"/>
      <w:r w:rsidRPr="0020204F">
        <w:rPr>
          <w:rFonts w:ascii="Times New Roman" w:eastAsia="Times New Roman" w:hAnsi="Times New Roman"/>
          <w:b/>
          <w:sz w:val="24"/>
          <w:lang w:eastAsia="cs-CZ"/>
        </w:rPr>
        <w:t>∑ = PVSDMČ x 0,45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i/>
          <w:sz w:val="24"/>
          <w:lang w:eastAsia="cs-CZ"/>
        </w:rPr>
        <w:t>Rozpočet Městských Částí Celkem = Podíl Výnosu Sdílených Daní Městských Částí x 0,45</w:t>
      </w:r>
    </w:p>
    <w:p w:rsidR="0020204F" w:rsidRPr="0020204F" w:rsidRDefault="0020204F" w:rsidP="0020204F">
      <w:pPr>
        <w:ind w:left="300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Podíl jednotlivých MČ je stanoven dle počtu obyvatel a přepočtu celkového podílu na 1 obyvatele MČ dle výpočtu: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b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1. </w:t>
      </w:r>
      <w:proofErr w:type="spellStart"/>
      <w:r w:rsidRPr="0020204F">
        <w:rPr>
          <w:rFonts w:ascii="Times New Roman" w:eastAsia="Times New Roman" w:hAnsi="Times New Roman"/>
          <w:b/>
          <w:sz w:val="24"/>
          <w:lang w:eastAsia="cs-CZ"/>
        </w:rPr>
        <w:t>PRo</w:t>
      </w:r>
      <w:proofErr w:type="spellEnd"/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/1OMČ = </w:t>
      </w:r>
      <w:proofErr w:type="spellStart"/>
      <w:r w:rsidRPr="0020204F">
        <w:rPr>
          <w:rFonts w:ascii="Times New Roman" w:eastAsia="Times New Roman" w:hAnsi="Times New Roman"/>
          <w:b/>
          <w:sz w:val="24"/>
          <w:lang w:eastAsia="cs-CZ"/>
        </w:rPr>
        <w:t>RoMČ</w:t>
      </w:r>
      <w:proofErr w:type="spellEnd"/>
      <w:r w:rsidRPr="0020204F">
        <w:rPr>
          <w:rFonts w:ascii="Times New Roman" w:eastAsia="Times New Roman" w:hAnsi="Times New Roman"/>
          <w:b/>
          <w:sz w:val="24"/>
          <w:lang w:eastAsia="cs-CZ"/>
        </w:rPr>
        <w:t>∑ / POMČ∑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i/>
          <w:sz w:val="24"/>
          <w:lang w:eastAsia="cs-CZ"/>
        </w:rPr>
      </w:pPr>
      <w:r w:rsidRPr="0020204F">
        <w:rPr>
          <w:rFonts w:ascii="Times New Roman" w:eastAsia="Times New Roman" w:hAnsi="Times New Roman"/>
          <w:i/>
          <w:sz w:val="24"/>
          <w:lang w:eastAsia="cs-CZ"/>
        </w:rPr>
        <w:t xml:space="preserve">Podíl Rozpočtu na 1 Obyvatele Městské Části = Rozpočet Městských Částí Celkem / Počet Obyvatel Městských Částí Celkem  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b/>
          <w:sz w:val="24"/>
          <w:lang w:eastAsia="cs-CZ"/>
        </w:rPr>
      </w:pP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b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2.</w:t>
      </w:r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 </w:t>
      </w:r>
      <w:proofErr w:type="spellStart"/>
      <w:r w:rsidRPr="0020204F">
        <w:rPr>
          <w:rFonts w:ascii="Times New Roman" w:eastAsia="Times New Roman" w:hAnsi="Times New Roman"/>
          <w:b/>
          <w:sz w:val="24"/>
          <w:lang w:eastAsia="cs-CZ"/>
        </w:rPr>
        <w:t>RoMČ</w:t>
      </w:r>
      <w:proofErr w:type="spellEnd"/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 = </w:t>
      </w:r>
      <w:proofErr w:type="spellStart"/>
      <w:r w:rsidRPr="0020204F">
        <w:rPr>
          <w:rFonts w:ascii="Times New Roman" w:eastAsia="Times New Roman" w:hAnsi="Times New Roman"/>
          <w:b/>
          <w:sz w:val="24"/>
          <w:lang w:eastAsia="cs-CZ"/>
        </w:rPr>
        <w:t>PRo</w:t>
      </w:r>
      <w:proofErr w:type="spellEnd"/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/1OMČ x POMČ 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i/>
          <w:sz w:val="24"/>
          <w:lang w:eastAsia="cs-CZ"/>
        </w:rPr>
      </w:pPr>
      <w:r w:rsidRPr="0020204F">
        <w:rPr>
          <w:rFonts w:ascii="Times New Roman" w:eastAsia="Times New Roman" w:hAnsi="Times New Roman"/>
          <w:i/>
          <w:sz w:val="24"/>
          <w:lang w:eastAsia="cs-CZ"/>
        </w:rPr>
        <w:t xml:space="preserve"> Rozpočet Městské Části = Podíl Rozpočtu na jednoho Obyvatele Městské Části x Počet Obyvatel Městské Části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Výsledný rozpočet jednotlivých MČ je stanoven „velikostním koeficientem“ dle počtu obyvatel MČ následně (zaokrouhlen na celé tisíce Kč směrem dolů):    </w:t>
      </w:r>
    </w:p>
    <w:p w:rsidR="0020204F" w:rsidRPr="0020204F" w:rsidRDefault="0020204F" w:rsidP="0020204F">
      <w:pPr>
        <w:ind w:left="300"/>
        <w:jc w:val="both"/>
        <w:rPr>
          <w:rFonts w:ascii="Times New Roman" w:eastAsia="Times New Roman" w:hAnsi="Times New Roman"/>
          <w:sz w:val="24"/>
          <w:lang w:eastAsia="cs-CZ"/>
        </w:rPr>
      </w:pPr>
    </w:p>
    <w:tbl>
      <w:tblPr>
        <w:tblStyle w:val="Mkatabulky"/>
        <w:tblW w:w="0" w:type="auto"/>
        <w:tblInd w:w="644" w:type="dxa"/>
        <w:tblLook w:val="01E0" w:firstRow="1" w:lastRow="1" w:firstColumn="1" w:lastColumn="1" w:noHBand="0" w:noVBand="0"/>
      </w:tblPr>
      <w:tblGrid>
        <w:gridCol w:w="1926"/>
        <w:gridCol w:w="1443"/>
      </w:tblGrid>
      <w:tr w:rsidR="0020204F" w:rsidRPr="0020204F" w:rsidTr="002C14C3">
        <w:trPr>
          <w:trHeight w:val="751"/>
        </w:trPr>
        <w:tc>
          <w:tcPr>
            <w:tcW w:w="1926" w:type="dxa"/>
          </w:tcPr>
          <w:p w:rsidR="0020204F" w:rsidRPr="0020204F" w:rsidRDefault="0020204F" w:rsidP="0020204F">
            <w:pPr>
              <w:jc w:val="center"/>
              <w:rPr>
                <w:b/>
                <w:bCs/>
                <w:szCs w:val="20"/>
                <w:lang w:eastAsia="cs-CZ"/>
              </w:rPr>
            </w:pPr>
            <w:r w:rsidRPr="0020204F">
              <w:rPr>
                <w:b/>
                <w:bCs/>
                <w:szCs w:val="20"/>
                <w:lang w:eastAsia="cs-CZ"/>
              </w:rPr>
              <w:lastRenderedPageBreak/>
              <w:t>Počet obyvatel MČ</w:t>
            </w:r>
          </w:p>
        </w:tc>
        <w:tc>
          <w:tcPr>
            <w:tcW w:w="1443" w:type="dxa"/>
          </w:tcPr>
          <w:p w:rsidR="0020204F" w:rsidRPr="0020204F" w:rsidRDefault="0020204F" w:rsidP="0020204F">
            <w:pPr>
              <w:jc w:val="center"/>
              <w:rPr>
                <w:b/>
                <w:bCs/>
                <w:szCs w:val="20"/>
                <w:lang w:eastAsia="cs-CZ"/>
              </w:rPr>
            </w:pPr>
            <w:r w:rsidRPr="0020204F">
              <w:rPr>
                <w:b/>
                <w:bCs/>
                <w:szCs w:val="20"/>
                <w:lang w:eastAsia="cs-CZ"/>
              </w:rPr>
              <w:t>Velikostní koeficient MČ</w:t>
            </w:r>
          </w:p>
        </w:tc>
      </w:tr>
      <w:tr w:rsidR="0020204F" w:rsidRPr="0020204F" w:rsidTr="002C14C3">
        <w:tc>
          <w:tcPr>
            <w:tcW w:w="1926" w:type="dxa"/>
          </w:tcPr>
          <w:p w:rsidR="0020204F" w:rsidRPr="0020204F" w:rsidRDefault="0020204F" w:rsidP="0020204F">
            <w:pPr>
              <w:jc w:val="right"/>
              <w:rPr>
                <w:b/>
                <w:bCs/>
                <w:szCs w:val="20"/>
                <w:lang w:eastAsia="cs-CZ"/>
              </w:rPr>
            </w:pPr>
            <w:r w:rsidRPr="0020204F">
              <w:rPr>
                <w:b/>
                <w:bCs/>
                <w:szCs w:val="20"/>
                <w:lang w:eastAsia="cs-CZ"/>
              </w:rPr>
              <w:t>0 - 340</w:t>
            </w:r>
          </w:p>
        </w:tc>
        <w:tc>
          <w:tcPr>
            <w:tcW w:w="1443" w:type="dxa"/>
          </w:tcPr>
          <w:p w:rsidR="0020204F" w:rsidRPr="0020204F" w:rsidRDefault="0020204F" w:rsidP="0020204F">
            <w:pPr>
              <w:jc w:val="right"/>
              <w:rPr>
                <w:szCs w:val="20"/>
                <w:lang w:eastAsia="cs-CZ"/>
              </w:rPr>
            </w:pPr>
            <w:r w:rsidRPr="0020204F">
              <w:rPr>
                <w:szCs w:val="20"/>
                <w:lang w:eastAsia="cs-CZ"/>
              </w:rPr>
              <w:t>1,55</w:t>
            </w:r>
          </w:p>
        </w:tc>
      </w:tr>
      <w:tr w:rsidR="0020204F" w:rsidRPr="0020204F" w:rsidTr="002C14C3">
        <w:tc>
          <w:tcPr>
            <w:tcW w:w="1926" w:type="dxa"/>
          </w:tcPr>
          <w:p w:rsidR="0020204F" w:rsidRPr="0020204F" w:rsidRDefault="0020204F" w:rsidP="0020204F">
            <w:pPr>
              <w:jc w:val="right"/>
              <w:rPr>
                <w:b/>
                <w:bCs/>
                <w:szCs w:val="20"/>
                <w:lang w:eastAsia="cs-CZ"/>
              </w:rPr>
            </w:pPr>
            <w:r w:rsidRPr="0020204F">
              <w:rPr>
                <w:b/>
                <w:bCs/>
                <w:szCs w:val="20"/>
                <w:lang w:eastAsia="cs-CZ"/>
              </w:rPr>
              <w:t>341 - 500</w:t>
            </w:r>
          </w:p>
        </w:tc>
        <w:tc>
          <w:tcPr>
            <w:tcW w:w="1443" w:type="dxa"/>
          </w:tcPr>
          <w:p w:rsidR="0020204F" w:rsidRPr="0020204F" w:rsidRDefault="0020204F" w:rsidP="0020204F">
            <w:pPr>
              <w:jc w:val="right"/>
              <w:rPr>
                <w:szCs w:val="20"/>
                <w:lang w:eastAsia="cs-CZ"/>
              </w:rPr>
            </w:pPr>
            <w:r w:rsidRPr="0020204F">
              <w:rPr>
                <w:szCs w:val="20"/>
                <w:lang w:eastAsia="cs-CZ"/>
              </w:rPr>
              <w:t>1,35</w:t>
            </w:r>
          </w:p>
        </w:tc>
      </w:tr>
      <w:tr w:rsidR="0020204F" w:rsidRPr="0020204F" w:rsidTr="002C14C3">
        <w:tc>
          <w:tcPr>
            <w:tcW w:w="1926" w:type="dxa"/>
          </w:tcPr>
          <w:p w:rsidR="0020204F" w:rsidRPr="0020204F" w:rsidRDefault="0020204F" w:rsidP="0020204F">
            <w:pPr>
              <w:jc w:val="right"/>
              <w:rPr>
                <w:b/>
                <w:bCs/>
                <w:szCs w:val="20"/>
                <w:lang w:eastAsia="cs-CZ"/>
              </w:rPr>
            </w:pPr>
            <w:r w:rsidRPr="0020204F">
              <w:rPr>
                <w:b/>
                <w:bCs/>
                <w:szCs w:val="20"/>
                <w:lang w:eastAsia="cs-CZ"/>
              </w:rPr>
              <w:t>501 - 1000</w:t>
            </w:r>
          </w:p>
        </w:tc>
        <w:tc>
          <w:tcPr>
            <w:tcW w:w="1443" w:type="dxa"/>
          </w:tcPr>
          <w:p w:rsidR="0020204F" w:rsidRPr="0020204F" w:rsidRDefault="0020204F" w:rsidP="0020204F">
            <w:pPr>
              <w:jc w:val="right"/>
              <w:rPr>
                <w:szCs w:val="20"/>
                <w:lang w:eastAsia="cs-CZ"/>
              </w:rPr>
            </w:pPr>
            <w:r w:rsidRPr="0020204F">
              <w:rPr>
                <w:szCs w:val="20"/>
                <w:lang w:eastAsia="cs-CZ"/>
              </w:rPr>
              <w:t>1,09</w:t>
            </w:r>
          </w:p>
        </w:tc>
      </w:tr>
      <w:tr w:rsidR="0020204F" w:rsidRPr="0020204F" w:rsidTr="002C14C3">
        <w:tc>
          <w:tcPr>
            <w:tcW w:w="1926" w:type="dxa"/>
          </w:tcPr>
          <w:p w:rsidR="0020204F" w:rsidRPr="0020204F" w:rsidRDefault="0020204F" w:rsidP="0020204F">
            <w:pPr>
              <w:jc w:val="right"/>
              <w:rPr>
                <w:b/>
                <w:bCs/>
                <w:szCs w:val="20"/>
                <w:lang w:eastAsia="cs-CZ"/>
              </w:rPr>
            </w:pPr>
            <w:r w:rsidRPr="0020204F">
              <w:rPr>
                <w:b/>
                <w:bCs/>
                <w:szCs w:val="20"/>
                <w:lang w:eastAsia="cs-CZ"/>
              </w:rPr>
              <w:t>nad 1001</w:t>
            </w:r>
          </w:p>
        </w:tc>
        <w:tc>
          <w:tcPr>
            <w:tcW w:w="1443" w:type="dxa"/>
          </w:tcPr>
          <w:p w:rsidR="0020204F" w:rsidRPr="0020204F" w:rsidRDefault="0020204F" w:rsidP="0020204F">
            <w:pPr>
              <w:jc w:val="right"/>
              <w:rPr>
                <w:szCs w:val="20"/>
                <w:lang w:eastAsia="cs-CZ"/>
              </w:rPr>
            </w:pPr>
            <w:r w:rsidRPr="0020204F">
              <w:rPr>
                <w:szCs w:val="20"/>
                <w:lang w:eastAsia="cs-CZ"/>
              </w:rPr>
              <w:t>0,91</w:t>
            </w:r>
          </w:p>
        </w:tc>
      </w:tr>
    </w:tbl>
    <w:p w:rsidR="0020204F" w:rsidRPr="0020204F" w:rsidRDefault="0020204F" w:rsidP="0020204F">
      <w:pPr>
        <w:ind w:left="300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ind w:left="300"/>
        <w:jc w:val="both"/>
        <w:rPr>
          <w:rFonts w:ascii="Times New Roman" w:eastAsia="Times New Roman" w:hAnsi="Times New Roman"/>
          <w:b/>
          <w:sz w:val="24"/>
          <w:lang w:eastAsia="cs-CZ"/>
        </w:rPr>
      </w:pPr>
      <w:proofErr w:type="spellStart"/>
      <w:r w:rsidRPr="0020204F">
        <w:rPr>
          <w:rFonts w:ascii="Times New Roman" w:eastAsia="Times New Roman" w:hAnsi="Times New Roman"/>
          <w:b/>
          <w:sz w:val="24"/>
          <w:lang w:eastAsia="cs-CZ"/>
        </w:rPr>
        <w:t>VRoMČ</w:t>
      </w:r>
      <w:proofErr w:type="spellEnd"/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 = </w:t>
      </w:r>
      <w:proofErr w:type="spellStart"/>
      <w:r w:rsidRPr="0020204F">
        <w:rPr>
          <w:rFonts w:ascii="Times New Roman" w:eastAsia="Times New Roman" w:hAnsi="Times New Roman"/>
          <w:b/>
          <w:sz w:val="24"/>
          <w:lang w:eastAsia="cs-CZ"/>
        </w:rPr>
        <w:t>RoMČ</w:t>
      </w:r>
      <w:proofErr w:type="spellEnd"/>
      <w:r w:rsidRPr="0020204F">
        <w:rPr>
          <w:rFonts w:ascii="Times New Roman" w:eastAsia="Times New Roman" w:hAnsi="Times New Roman"/>
          <w:b/>
          <w:sz w:val="24"/>
          <w:lang w:eastAsia="cs-CZ"/>
        </w:rPr>
        <w:t xml:space="preserve"> x VKMČ</w:t>
      </w:r>
    </w:p>
    <w:p w:rsidR="0020204F" w:rsidRPr="0020204F" w:rsidRDefault="0020204F" w:rsidP="0020204F">
      <w:pPr>
        <w:ind w:left="300"/>
        <w:jc w:val="both"/>
        <w:rPr>
          <w:rFonts w:ascii="Times New Roman" w:eastAsia="Times New Roman" w:hAnsi="Times New Roman"/>
          <w:i/>
          <w:sz w:val="24"/>
          <w:lang w:eastAsia="cs-CZ"/>
        </w:rPr>
      </w:pPr>
      <w:r w:rsidRPr="0020204F">
        <w:rPr>
          <w:rFonts w:ascii="Times New Roman" w:eastAsia="Times New Roman" w:hAnsi="Times New Roman"/>
          <w:i/>
          <w:sz w:val="24"/>
          <w:lang w:eastAsia="cs-CZ"/>
        </w:rPr>
        <w:t xml:space="preserve">Výsledný Rozpočet Městské Části = Rozpočet Městské části x Velikostní Koeficient 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  </w:t>
      </w:r>
      <w:r w:rsidRPr="0020204F">
        <w:rPr>
          <w:rFonts w:ascii="Times New Roman" w:eastAsia="Times New Roman" w:hAnsi="Times New Roman"/>
          <w:szCs w:val="20"/>
          <w:lang w:eastAsia="cs-CZ"/>
        </w:rPr>
        <w:t xml:space="preserve">          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ad) 2.  </w:t>
      </w:r>
      <w:r w:rsidRPr="0020204F">
        <w:rPr>
          <w:rFonts w:ascii="Times New Roman" w:eastAsia="Times New Roman" w:hAnsi="Times New Roman"/>
          <w:sz w:val="24"/>
          <w:u w:val="single"/>
          <w:lang w:eastAsia="cs-CZ"/>
        </w:rPr>
        <w:t>Vlastní příjmy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          Vlastní příjmy MČ jsou rozpočtovány dle skutečně zrealizovaných příjmů a jsou zapojovány do upraveného rozpočtu městských částí během kalendářního roku na požádání rozpočtovými opatřeními. Tyto příjmy dle místa vzniku (jednotlivých MČ) budou MČ použity ke krytí výdajů MČ.  </w:t>
      </w:r>
    </w:p>
    <w:p w:rsidR="0020204F" w:rsidRPr="0020204F" w:rsidRDefault="0020204F" w:rsidP="0020204F">
      <w:pPr>
        <w:ind w:left="567"/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Jedná se zejména o tyto příjmy:</w:t>
      </w:r>
    </w:p>
    <w:p w:rsidR="0020204F" w:rsidRPr="0020204F" w:rsidRDefault="0020204F" w:rsidP="0020204F">
      <w:pPr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místní poplatky – dle aktuálního znění OZV o místním poplatku ze psů</w:t>
      </w:r>
    </w:p>
    <w:p w:rsidR="0020204F" w:rsidRPr="0020204F" w:rsidRDefault="0020204F" w:rsidP="0020204F">
      <w:pPr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 xml:space="preserve">nájemné + příjmy  za  služby  spojené  s nájmy (u nemovitého majetku svěřeného dle přílohy </w:t>
      </w:r>
      <w:proofErr w:type="gramStart"/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č. 2 Statutu</w:t>
      </w:r>
      <w:proofErr w:type="gramEnd"/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)</w:t>
      </w:r>
    </w:p>
    <w:p w:rsidR="0020204F" w:rsidRPr="0020204F" w:rsidRDefault="0020204F" w:rsidP="0020204F">
      <w:pPr>
        <w:numPr>
          <w:ilvl w:val="0"/>
          <w:numId w:val="19"/>
        </w:numPr>
        <w:ind w:left="567" w:firstLine="0"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peněžní dary a dotace určené MČ</w:t>
      </w:r>
    </w:p>
    <w:p w:rsidR="0020204F" w:rsidRPr="0020204F" w:rsidRDefault="0020204F" w:rsidP="0020204F">
      <w:pPr>
        <w:numPr>
          <w:ilvl w:val="0"/>
          <w:numId w:val="19"/>
        </w:numPr>
        <w:ind w:left="567" w:firstLine="0"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ostatní nahodilé příjmy související přímo s katastrálním územím MČ</w:t>
      </w:r>
    </w:p>
    <w:p w:rsidR="0020204F" w:rsidRPr="0020204F" w:rsidRDefault="0020204F" w:rsidP="0020204F">
      <w:pPr>
        <w:numPr>
          <w:ilvl w:val="0"/>
          <w:numId w:val="19"/>
        </w:numPr>
        <w:ind w:left="567" w:firstLine="0"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příjmy z prodeje movitého majetku</w:t>
      </w:r>
      <w:r>
        <w:rPr>
          <w:rFonts w:ascii="Times New Roman" w:eastAsia="Times New Roman" w:hAnsi="Times New Roman"/>
          <w:color w:val="000000"/>
          <w:sz w:val="24"/>
          <w:lang w:eastAsia="cs-CZ"/>
        </w:rPr>
        <w:t>.</w:t>
      </w:r>
    </w:p>
    <w:p w:rsidR="0020204F" w:rsidRPr="0020204F" w:rsidRDefault="0020204F" w:rsidP="0020204F">
      <w:pPr>
        <w:ind w:left="709"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20"/>
        </w:num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20204F">
        <w:rPr>
          <w:rFonts w:ascii="Times New Roman" w:eastAsia="Times New Roman" w:hAnsi="Times New Roman"/>
          <w:b/>
          <w:bCs/>
          <w:sz w:val="24"/>
          <w:lang w:eastAsia="cs-CZ"/>
        </w:rPr>
        <w:t>Výdaje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u w:val="single"/>
          <w:lang w:eastAsia="cs-CZ"/>
        </w:rPr>
      </w:pPr>
      <w:r w:rsidRPr="0020204F">
        <w:rPr>
          <w:rFonts w:ascii="Times New Roman" w:eastAsia="Times New Roman" w:hAnsi="Times New Roman"/>
          <w:sz w:val="24"/>
          <w:u w:val="single"/>
          <w:lang w:eastAsia="cs-CZ"/>
        </w:rPr>
        <w:t>Běžné výdaje</w:t>
      </w:r>
      <w:r w:rsidRPr="0020204F">
        <w:rPr>
          <w:rFonts w:ascii="Times New Roman" w:eastAsia="Times New Roman" w:hAnsi="Times New Roman"/>
          <w:sz w:val="24"/>
          <w:lang w:eastAsia="cs-CZ"/>
        </w:rPr>
        <w:t xml:space="preserve"> 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    Na základě  schválení  návrhu  rozpočtu  města pro </w:t>
      </w:r>
      <w:proofErr w:type="gramStart"/>
      <w:r w:rsidRPr="0020204F">
        <w:rPr>
          <w:rFonts w:ascii="Times New Roman" w:eastAsia="Times New Roman" w:hAnsi="Times New Roman"/>
          <w:sz w:val="24"/>
          <w:lang w:eastAsia="cs-CZ"/>
        </w:rPr>
        <w:t>jednotlivé</w:t>
      </w:r>
      <w:proofErr w:type="gramEnd"/>
      <w:r w:rsidRPr="0020204F">
        <w:rPr>
          <w:rFonts w:ascii="Times New Roman" w:eastAsia="Times New Roman" w:hAnsi="Times New Roman"/>
          <w:sz w:val="24"/>
          <w:lang w:eastAsia="cs-CZ"/>
        </w:rPr>
        <w:t xml:space="preserve"> MČ zastupitelstvem města  provádí  MČ  rozpis  výdajů  </w:t>
      </w: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dle  platné</w:t>
      </w:r>
      <w:r w:rsidRPr="0020204F">
        <w:rPr>
          <w:rFonts w:ascii="Times New Roman" w:eastAsia="Times New Roman" w:hAnsi="Times New Roman"/>
          <w:color w:val="0000FF"/>
          <w:sz w:val="24"/>
          <w:lang w:eastAsia="cs-CZ"/>
        </w:rPr>
        <w:t xml:space="preserve"> </w:t>
      </w:r>
      <w:r w:rsidRPr="0020204F">
        <w:rPr>
          <w:rFonts w:ascii="Times New Roman" w:eastAsia="Times New Roman" w:hAnsi="Times New Roman"/>
          <w:sz w:val="24"/>
          <w:lang w:eastAsia="cs-CZ"/>
        </w:rPr>
        <w:t>rozpočtové  skladby  dle  svých  potřeb do jednoho měsíce aktuálního rozpočtového roku.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u w:val="single"/>
          <w:lang w:eastAsia="cs-CZ"/>
        </w:rPr>
      </w:pPr>
      <w:r w:rsidRPr="0020204F">
        <w:rPr>
          <w:rFonts w:ascii="Times New Roman" w:eastAsia="Times New Roman" w:hAnsi="Times New Roman"/>
          <w:sz w:val="24"/>
          <w:u w:val="single"/>
          <w:lang w:eastAsia="cs-CZ"/>
        </w:rPr>
        <w:t>Investiční výdaje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    Investiční potřeby SMO včetně MČ zajišťuje, v souladu s organizačním řádem, odbor investic.   MČ ve spolupráci s tímto odborem a investiční </w:t>
      </w:r>
      <w:r w:rsidRPr="0020204F">
        <w:rPr>
          <w:rFonts w:ascii="Times New Roman" w:eastAsia="Times New Roman" w:hAnsi="Times New Roman"/>
          <w:color w:val="000000"/>
          <w:sz w:val="24"/>
          <w:lang w:eastAsia="cs-CZ"/>
        </w:rPr>
        <w:t>komisí RMO</w:t>
      </w:r>
      <w:r w:rsidRPr="0020204F">
        <w:rPr>
          <w:rFonts w:ascii="Times New Roman" w:eastAsia="Times New Roman" w:hAnsi="Times New Roman"/>
          <w:sz w:val="24"/>
          <w:lang w:eastAsia="cs-CZ"/>
        </w:rPr>
        <w:t xml:space="preserve"> připravují požadavky na investice na svém území z hlediska priorit a rozpočtového výhledu.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numPr>
          <w:ilvl w:val="12"/>
          <w:numId w:val="0"/>
        </w:num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23"/>
        </w:num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20204F">
        <w:rPr>
          <w:rFonts w:ascii="Times New Roman" w:eastAsia="Times New Roman" w:hAnsi="Times New Roman"/>
          <w:b/>
          <w:bCs/>
          <w:sz w:val="24"/>
          <w:lang w:eastAsia="cs-CZ"/>
        </w:rPr>
        <w:t>Finanční vypořádání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     Podle vyúčtování hospodaření MČ za běžný rok (srovnání původního, případně upraveného rozpočtu se skutečností) bude provedeno finanční vypořádání.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 xml:space="preserve">V případě kladného salda (úspora výdajů, překročení příjmů) bude toto saldo po schválení  ZMO k dispozici MČ v dalším kalendářním období. 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  <w:r w:rsidRPr="0020204F">
        <w:rPr>
          <w:rFonts w:ascii="Times New Roman" w:eastAsia="Times New Roman" w:hAnsi="Times New Roman"/>
          <w:sz w:val="24"/>
          <w:lang w:eastAsia="cs-CZ"/>
        </w:rPr>
        <w:t>V případě záporného salda (překročení výdajů) bude toto saldo odečteno z rozpočtu MČ příštího roku.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:rsidR="0020204F" w:rsidRPr="0020204F" w:rsidRDefault="0020204F" w:rsidP="0020204F">
      <w:pPr>
        <w:numPr>
          <w:ilvl w:val="0"/>
          <w:numId w:val="23"/>
        </w:numPr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20204F">
        <w:rPr>
          <w:rFonts w:ascii="Times New Roman" w:eastAsia="Times New Roman" w:hAnsi="Times New Roman"/>
          <w:b/>
          <w:bCs/>
          <w:sz w:val="24"/>
          <w:lang w:eastAsia="cs-CZ"/>
        </w:rPr>
        <w:lastRenderedPageBreak/>
        <w:t>Fond rezerv a rozvoje (</w:t>
      </w:r>
      <w:r w:rsidR="00925977">
        <w:rPr>
          <w:rFonts w:ascii="Times New Roman" w:eastAsia="Times New Roman" w:hAnsi="Times New Roman"/>
          <w:b/>
          <w:bCs/>
          <w:sz w:val="24"/>
          <w:lang w:eastAsia="cs-CZ"/>
        </w:rPr>
        <w:t>dále jen „</w:t>
      </w:r>
      <w:r w:rsidRPr="0020204F">
        <w:rPr>
          <w:rFonts w:ascii="Times New Roman" w:eastAsia="Times New Roman" w:hAnsi="Times New Roman"/>
          <w:b/>
          <w:bCs/>
          <w:sz w:val="24"/>
          <w:lang w:eastAsia="cs-CZ"/>
        </w:rPr>
        <w:t>FRR</w:t>
      </w:r>
      <w:r w:rsidR="00925977">
        <w:rPr>
          <w:rFonts w:ascii="Times New Roman" w:eastAsia="Times New Roman" w:hAnsi="Times New Roman"/>
          <w:b/>
          <w:bCs/>
          <w:sz w:val="24"/>
          <w:lang w:eastAsia="cs-CZ"/>
        </w:rPr>
        <w:t>“</w:t>
      </w:r>
      <w:r w:rsidRPr="0020204F">
        <w:rPr>
          <w:rFonts w:ascii="Times New Roman" w:eastAsia="Times New Roman" w:hAnsi="Times New Roman"/>
          <w:b/>
          <w:bCs/>
          <w:sz w:val="24"/>
          <w:lang w:eastAsia="cs-CZ"/>
        </w:rPr>
        <w:t>)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20204F">
        <w:rPr>
          <w:rFonts w:ascii="Times New Roman" w:eastAsia="Times New Roman" w:hAnsi="Times New Roman"/>
          <w:bCs/>
          <w:sz w:val="24"/>
          <w:lang w:eastAsia="cs-CZ"/>
        </w:rPr>
        <w:t>Pro případ, že MČ v rámci přípravy víceletých akcí bude kumulovat finanční prostředky, může požádat odbor finanční a rozpočtový Magistrátu města Opavy na základě usnesení zastupitelstva MČ o převod těchto financí do Fondu rezerv a rozvoje, kde budou finanční prostředky uloženy pro použití v následujících letech.</w:t>
      </w:r>
    </w:p>
    <w:p w:rsidR="0020204F" w:rsidRPr="0020204F" w:rsidRDefault="0020204F" w:rsidP="0020204F">
      <w:pPr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20204F">
        <w:rPr>
          <w:rFonts w:ascii="Times New Roman" w:eastAsia="Times New Roman" w:hAnsi="Times New Roman"/>
          <w:bCs/>
          <w:sz w:val="24"/>
          <w:lang w:eastAsia="cs-CZ"/>
        </w:rPr>
        <w:t>Pokud bude MČ hospodařit v záporném saldu a zároveň bude mít na FRR uloženy finance z hospodaření minulých let, bude možné toto saldo vyrovnat použitím FRR.</w:t>
      </w:r>
    </w:p>
    <w:p w:rsidR="00663376" w:rsidRDefault="00663376" w:rsidP="0020204F">
      <w:pPr>
        <w:pStyle w:val="Pehled"/>
      </w:pPr>
    </w:p>
    <w:sectPr w:rsidR="00663376" w:rsidSect="009D27CB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0D" w:rsidRDefault="003D5D0D" w:rsidP="00022C2A">
      <w:r>
        <w:separator/>
      </w:r>
    </w:p>
  </w:endnote>
  <w:endnote w:type="continuationSeparator" w:id="0">
    <w:p w:rsidR="003D5D0D" w:rsidRDefault="003D5D0D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40145D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proofErr w:type="gramStart"/>
    <w:r w:rsidRPr="00F353C9">
      <w:rPr>
        <w:sz w:val="14"/>
        <w:szCs w:val="14"/>
      </w:rPr>
      <w:t xml:space="preserve"> z </w:t>
    </w:r>
    <w:proofErr w:type="gramEnd"/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40145D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0D" w:rsidRDefault="003D5D0D" w:rsidP="00022C2A">
      <w:r>
        <w:separator/>
      </w:r>
    </w:p>
  </w:footnote>
  <w:footnote w:type="continuationSeparator" w:id="0">
    <w:p w:rsidR="003D5D0D" w:rsidRDefault="003D5D0D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634CF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01AFAB5" wp14:editId="6610BB08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2C27CD"/>
    <w:multiLevelType w:val="singleLevel"/>
    <w:tmpl w:val="2F52C44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EB0349B"/>
    <w:multiLevelType w:val="singleLevel"/>
    <w:tmpl w:val="AB3A637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128F3041"/>
    <w:multiLevelType w:val="multilevel"/>
    <w:tmpl w:val="7D0C9AAA"/>
    <w:numStyleLink w:val="SmrniceObsah"/>
  </w:abstractNum>
  <w:abstractNum w:abstractNumId="5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D56CB2"/>
    <w:multiLevelType w:val="singleLevel"/>
    <w:tmpl w:val="4B686CE6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1AE9209B"/>
    <w:multiLevelType w:val="multilevel"/>
    <w:tmpl w:val="7D0C9AAA"/>
    <w:numStyleLink w:val="SmrniceObsah"/>
  </w:abstractNum>
  <w:abstractNum w:abstractNumId="8">
    <w:nsid w:val="25A845B1"/>
    <w:multiLevelType w:val="singleLevel"/>
    <w:tmpl w:val="19786D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3DD446A"/>
    <w:multiLevelType w:val="multilevel"/>
    <w:tmpl w:val="54DA9582"/>
    <w:numStyleLink w:val="SmrniceSeznam"/>
  </w:abstractNum>
  <w:abstractNum w:abstractNumId="13">
    <w:nsid w:val="43E265A2"/>
    <w:multiLevelType w:val="multilevel"/>
    <w:tmpl w:val="7D0C9AAA"/>
    <w:numStyleLink w:val="SmrniceObsah"/>
  </w:abstractNum>
  <w:abstractNum w:abstractNumId="14">
    <w:nsid w:val="4A9321F7"/>
    <w:multiLevelType w:val="multilevel"/>
    <w:tmpl w:val="7D0C9AAA"/>
    <w:numStyleLink w:val="SmrniceObsah"/>
  </w:abstractNum>
  <w:abstractNum w:abstractNumId="15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87972"/>
    <w:multiLevelType w:val="multilevel"/>
    <w:tmpl w:val="7D0C9AAA"/>
    <w:numStyleLink w:val="SmrniceObsah"/>
  </w:abstractNum>
  <w:abstractNum w:abstractNumId="17">
    <w:nsid w:val="625406B4"/>
    <w:multiLevelType w:val="multilevel"/>
    <w:tmpl w:val="7D0C9AAA"/>
    <w:numStyleLink w:val="SmrniceObsah"/>
  </w:abstractNum>
  <w:abstractNum w:abstractNumId="18">
    <w:nsid w:val="6B196B2B"/>
    <w:multiLevelType w:val="multilevel"/>
    <w:tmpl w:val="54DA9582"/>
    <w:numStyleLink w:val="SmrniceSeznam"/>
  </w:abstractNum>
  <w:abstractNum w:abstractNumId="19">
    <w:nsid w:val="74CF04F4"/>
    <w:multiLevelType w:val="singleLevel"/>
    <w:tmpl w:val="8078EC30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>
    <w:nsid w:val="7DDF20CD"/>
    <w:multiLevelType w:val="singleLevel"/>
    <w:tmpl w:val="19786D7E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18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17"/>
  </w:num>
  <w:num w:numId="14">
    <w:abstractNumId w:val="15"/>
  </w:num>
  <w:num w:numId="15">
    <w:abstractNumId w:val="14"/>
  </w:num>
  <w:num w:numId="16">
    <w:abstractNumId w:val="13"/>
  </w:num>
  <w:num w:numId="17">
    <w:abstractNumId w:val="20"/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0">
    <w:abstractNumId w:val="6"/>
  </w:num>
  <w:num w:numId="21">
    <w:abstractNumId w:val="8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FF"/>
    <w:rsid w:val="00022C2A"/>
    <w:rsid w:val="00091011"/>
    <w:rsid w:val="000F65B3"/>
    <w:rsid w:val="0020204F"/>
    <w:rsid w:val="002778FC"/>
    <w:rsid w:val="002A1949"/>
    <w:rsid w:val="002C2903"/>
    <w:rsid w:val="003D5D0D"/>
    <w:rsid w:val="0040145D"/>
    <w:rsid w:val="00457D47"/>
    <w:rsid w:val="00594CBA"/>
    <w:rsid w:val="006344B9"/>
    <w:rsid w:val="00634CFF"/>
    <w:rsid w:val="00657EF9"/>
    <w:rsid w:val="00663376"/>
    <w:rsid w:val="00677F4F"/>
    <w:rsid w:val="00910DD5"/>
    <w:rsid w:val="009217C2"/>
    <w:rsid w:val="00925977"/>
    <w:rsid w:val="009D27CB"/>
    <w:rsid w:val="00A005C1"/>
    <w:rsid w:val="00AA06D5"/>
    <w:rsid w:val="00B03D6A"/>
    <w:rsid w:val="00B713BC"/>
    <w:rsid w:val="00C75A5C"/>
    <w:rsid w:val="00D77881"/>
    <w:rsid w:val="00E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table" w:styleId="Mkatabulky">
    <w:name w:val="Table Grid"/>
    <w:basedOn w:val="Normlntabulka"/>
    <w:uiPriority w:val="99"/>
    <w:rsid w:val="002020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table" w:styleId="Mkatabulky">
    <w:name w:val="Table Grid"/>
    <w:basedOn w:val="Normlntabulka"/>
    <w:uiPriority w:val="99"/>
    <w:rsid w:val="002020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D7CD29-3371-4EF4-8DE3-03178D53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9</TotalTime>
  <Pages>4</Pages>
  <Words>641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5</cp:revision>
  <dcterms:created xsi:type="dcterms:W3CDTF">2015-08-06T07:34:00Z</dcterms:created>
  <dcterms:modified xsi:type="dcterms:W3CDTF">2019-11-22T09:14:00Z</dcterms:modified>
</cp:coreProperties>
</file>