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7A" w:rsidRPr="00625B7A" w:rsidRDefault="00625B7A" w:rsidP="00625B7A">
      <w:pPr>
        <w:jc w:val="center"/>
        <w:rPr>
          <w:b/>
          <w:color w:val="000000"/>
          <w:sz w:val="24"/>
          <w:szCs w:val="24"/>
        </w:rPr>
      </w:pPr>
      <w:r w:rsidRPr="00625B7A">
        <w:rPr>
          <w:b/>
          <w:color w:val="000000"/>
          <w:sz w:val="24"/>
          <w:szCs w:val="24"/>
        </w:rPr>
        <w:t xml:space="preserve">Aquacentrum – průběžná </w:t>
      </w:r>
      <w:r w:rsidR="005F21F0" w:rsidRPr="00625B7A">
        <w:rPr>
          <w:b/>
          <w:color w:val="000000"/>
          <w:sz w:val="24"/>
          <w:szCs w:val="24"/>
        </w:rPr>
        <w:t>zpráva ke 2. 12</w:t>
      </w:r>
      <w:r w:rsidRPr="00625B7A">
        <w:rPr>
          <w:b/>
          <w:color w:val="000000"/>
          <w:sz w:val="24"/>
          <w:szCs w:val="24"/>
        </w:rPr>
        <w:t>. 2021</w:t>
      </w:r>
    </w:p>
    <w:p w:rsidR="00625B7A" w:rsidRDefault="00625B7A" w:rsidP="00625B7A">
      <w:pPr>
        <w:rPr>
          <w:color w:val="000000"/>
          <w:sz w:val="24"/>
          <w:szCs w:val="24"/>
        </w:rPr>
      </w:pPr>
      <w:bookmarkStart w:id="0" w:name="_GoBack"/>
      <w:bookmarkEnd w:id="0"/>
    </w:p>
    <w:p w:rsidR="00625B7A" w:rsidRDefault="00625B7A" w:rsidP="00625B7A">
      <w:pPr>
        <w:rPr>
          <w:color w:val="000000"/>
        </w:rPr>
      </w:pPr>
      <w:r>
        <w:rPr>
          <w:color w:val="000000"/>
          <w:sz w:val="24"/>
          <w:szCs w:val="24"/>
        </w:rPr>
        <w:t>Ve věci upřesnění podmínek a výše dotací byl panem primátorem, a to opakovaně, osloven ředitel odboru SFŽP. Z jeho odpovědi ze dne 28.11. a z jeho komentáře k zaslaným Pravidlům</w:t>
      </w:r>
      <w:r>
        <w:rPr>
          <w:color w:val="000000"/>
        </w:rPr>
        <w:t xml:space="preserve"> pro žadatele a příjemce podpory v Operačním programu životní prostředí pro období 2021-2027 (neboli „OPŽP21+“) je zřejmé, že navrhovaný záměr výstavby opavského aquacentra je zařazen dle bodů </w:t>
      </w:r>
      <w:proofErr w:type="gramStart"/>
      <w:r>
        <w:rPr>
          <w:color w:val="000000"/>
        </w:rPr>
        <w:t>viz. níže</w:t>
      </w:r>
      <w:proofErr w:type="gramEnd"/>
      <w:r>
        <w:rPr>
          <w:color w:val="000000"/>
        </w:rPr>
        <w:t xml:space="preserve"> a že předpoklad vyhlášení prvních výzev </w:t>
      </w:r>
      <w:r>
        <w:rPr>
          <w:b/>
          <w:bCs/>
          <w:color w:val="000000"/>
        </w:rPr>
        <w:t>první polovina roku 2022</w:t>
      </w:r>
      <w:r>
        <w:rPr>
          <w:color w:val="000000"/>
        </w:rPr>
        <w:t>.</w:t>
      </w:r>
    </w:p>
    <w:p w:rsidR="00625B7A" w:rsidRDefault="00625B7A" w:rsidP="00625B7A">
      <w:pPr>
        <w:rPr>
          <w:sz w:val="24"/>
          <w:szCs w:val="24"/>
        </w:rPr>
      </w:pPr>
      <w:r>
        <w:rPr>
          <w:color w:val="000000"/>
        </w:rPr>
        <w:t xml:space="preserve">Dále je </w:t>
      </w:r>
      <w:r>
        <w:rPr>
          <w:sz w:val="24"/>
          <w:szCs w:val="24"/>
        </w:rPr>
        <w:t xml:space="preserve">oddělením veřejných zakázek připravována veřejná zakázka na výběr administrátora projektu aquacentra. </w:t>
      </w:r>
    </w:p>
    <w:p w:rsidR="00625B7A" w:rsidRDefault="00625B7A" w:rsidP="00625B7A">
      <w:pPr>
        <w:rPr>
          <w:sz w:val="24"/>
          <w:szCs w:val="24"/>
        </w:rPr>
      </w:pPr>
      <w:r>
        <w:rPr>
          <w:sz w:val="24"/>
          <w:szCs w:val="24"/>
        </w:rPr>
        <w:t>Předmětem jeho činností by mělo být:</w:t>
      </w:r>
    </w:p>
    <w:p w:rsidR="00625B7A" w:rsidRDefault="00625B7A" w:rsidP="00625B7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Výběr manažera projektu</w:t>
      </w:r>
    </w:p>
    <w:p w:rsidR="00625B7A" w:rsidRDefault="00625B7A" w:rsidP="00625B7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Výběr zhotovitele dokumentace pro územní řízení</w:t>
      </w:r>
    </w:p>
    <w:p w:rsidR="00625B7A" w:rsidRDefault="00625B7A" w:rsidP="00625B7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Výběr společného zhotovitele další stupňů PD a zhotovitele stavby v režimu Design and </w:t>
      </w:r>
      <w:proofErr w:type="spellStart"/>
      <w:r>
        <w:rPr>
          <w:sz w:val="24"/>
          <w:szCs w:val="24"/>
        </w:rPr>
        <w:t>Build</w:t>
      </w:r>
      <w:proofErr w:type="spellEnd"/>
    </w:p>
    <w:p w:rsidR="00625B7A" w:rsidRDefault="00625B7A" w:rsidP="00625B7A">
      <w:pPr>
        <w:pStyle w:val="Odstavecseseznamem"/>
        <w:rPr>
          <w:sz w:val="24"/>
          <w:szCs w:val="24"/>
        </w:rPr>
      </w:pPr>
    </w:p>
    <w:p w:rsidR="00625B7A" w:rsidRDefault="00625B7A" w:rsidP="00625B7A"/>
    <w:p w:rsidR="00625B7A" w:rsidRDefault="00625B7A" w:rsidP="00625B7A">
      <w:r>
        <w:t xml:space="preserve">Dotčená citace z „pravidel dotace OPŽP“: </w:t>
      </w:r>
    </w:p>
    <w:p w:rsidR="00625B7A" w:rsidRDefault="00625B7A" w:rsidP="00625B7A">
      <w:pPr>
        <w:rPr>
          <w:color w:val="000000"/>
        </w:rPr>
      </w:pPr>
    </w:p>
    <w:p w:rsidR="00625B7A" w:rsidRDefault="00625B7A" w:rsidP="00625B7A">
      <w:pPr>
        <w:pStyle w:val="OM-napdis3"/>
        <w:rPr>
          <w:rFonts w:ascii="Calibri" w:hAnsi="Calibri" w:cs="Calibri"/>
        </w:rPr>
      </w:pPr>
      <w:bookmarkStart w:id="1" w:name="_Toc70076320"/>
      <w:bookmarkStart w:id="2" w:name="_Toc67065182"/>
      <w:bookmarkStart w:id="3" w:name="_Toc70587085"/>
      <w:bookmarkStart w:id="4" w:name="_Toc74768851"/>
      <w:bookmarkStart w:id="5" w:name="_Toc77679377"/>
      <w:bookmarkStart w:id="6" w:name="_Toc85186403"/>
      <w:bookmarkEnd w:id="1"/>
      <w:bookmarkEnd w:id="2"/>
      <w:bookmarkEnd w:id="3"/>
      <w:bookmarkEnd w:id="4"/>
      <w:bookmarkEnd w:id="5"/>
      <w:r>
        <w:rPr>
          <w:rFonts w:ascii="Calibri" w:hAnsi="Calibri" w:cs="Calibri"/>
        </w:rPr>
        <w:t>Opatření 1.1.3 výstavba nových veřejných budov, které budou splňovat parametry pro pasivní nebo plusové budovy</w:t>
      </w:r>
      <w:bookmarkEnd w:id="6"/>
    </w:p>
    <w:p w:rsidR="00625B7A" w:rsidRDefault="00625B7A" w:rsidP="00625B7A">
      <w:pPr>
        <w:pStyle w:val="OM-nadpis4"/>
        <w:rPr>
          <w:sz w:val="22"/>
          <w:szCs w:val="22"/>
        </w:rPr>
      </w:pPr>
      <w:r>
        <w:rPr>
          <w:sz w:val="22"/>
          <w:szCs w:val="22"/>
        </w:rPr>
        <w:t>Typy podporovaných projektů a aktivit</w:t>
      </w:r>
    </w:p>
    <w:p w:rsidR="00625B7A" w:rsidRDefault="00625B7A" w:rsidP="00625B7A">
      <w:pPr>
        <w:pStyle w:val="Zkladntext"/>
        <w:spacing w:before="40"/>
        <w:ind w:left="0" w:right="9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Základním cílem je podpora efektivní výstavby budov veřejného sektoru v souladu s principy </w:t>
      </w:r>
      <w:hyperlink r:id="rId7" w:tgtFrame="_blank" w:history="1">
        <w:r>
          <w:rPr>
            <w:rStyle w:val="Hypertextovodkaz"/>
            <w:rFonts w:ascii="Calibri" w:hAnsi="Calibri" w:cs="Calibri"/>
            <w:color w:val="2E74B5"/>
            <w:sz w:val="22"/>
            <w:szCs w:val="22"/>
          </w:rPr>
          <w:t xml:space="preserve">New </w:t>
        </w:r>
        <w:proofErr w:type="spellStart"/>
        <w:r>
          <w:rPr>
            <w:rStyle w:val="Hypertextovodkaz"/>
            <w:rFonts w:ascii="Calibri" w:hAnsi="Calibri" w:cs="Calibri"/>
            <w:color w:val="2E74B5"/>
            <w:sz w:val="22"/>
            <w:szCs w:val="22"/>
          </w:rPr>
          <w:t>European</w:t>
        </w:r>
        <w:proofErr w:type="spellEnd"/>
        <w:r>
          <w:rPr>
            <w:rStyle w:val="Hypertextovodkaz"/>
            <w:rFonts w:ascii="Calibri" w:hAnsi="Calibri" w:cs="Calibri"/>
            <w:color w:val="2E74B5"/>
            <w:sz w:val="22"/>
            <w:szCs w:val="22"/>
          </w:rPr>
          <w:t xml:space="preserve"> </w:t>
        </w:r>
        <w:proofErr w:type="spellStart"/>
        <w:r>
          <w:rPr>
            <w:rStyle w:val="Hypertextovodkaz"/>
            <w:rFonts w:ascii="Calibri" w:hAnsi="Calibri" w:cs="Calibri"/>
            <w:color w:val="2E74B5"/>
            <w:sz w:val="22"/>
            <w:szCs w:val="22"/>
          </w:rPr>
          <w:t>Bauhaus</w:t>
        </w:r>
        <w:proofErr w:type="spellEnd"/>
      </w:hyperlink>
      <w:r>
        <w:rPr>
          <w:rFonts w:ascii="Calibri" w:hAnsi="Calibri" w:cs="Calibri"/>
          <w:color w:val="2E74B5"/>
          <w:sz w:val="22"/>
          <w:szCs w:val="22"/>
          <w:u w:val="single"/>
        </w:rPr>
        <w:t>.</w:t>
      </w:r>
    </w:p>
    <w:p w:rsidR="00625B7A" w:rsidRDefault="00625B7A" w:rsidP="00625B7A">
      <w:pPr>
        <w:pStyle w:val="Zkladntext"/>
        <w:spacing w:before="40"/>
        <w:ind w:left="0" w:right="96"/>
        <w:jc w:val="both"/>
        <w:rPr>
          <w:rFonts w:ascii="Calibri" w:hAnsi="Calibri" w:cs="Calibri"/>
          <w:sz w:val="22"/>
          <w:szCs w:val="22"/>
        </w:rPr>
      </w:pPr>
    </w:p>
    <w:p w:rsidR="00625B7A" w:rsidRDefault="00625B7A" w:rsidP="00625B7A">
      <w:pPr>
        <w:pStyle w:val="Zkladntext"/>
        <w:spacing w:before="40"/>
        <w:ind w:left="0" w:right="9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Podporované projekty a aktivity: </w:t>
      </w:r>
    </w:p>
    <w:p w:rsidR="00625B7A" w:rsidRDefault="00625B7A" w:rsidP="00625B7A">
      <w:pPr>
        <w:pStyle w:val="Odrkybod"/>
        <w:numPr>
          <w:ilvl w:val="0"/>
          <w:numId w:val="0"/>
        </w:numPr>
        <w:spacing w:line="240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Výstavba budov: </w:t>
      </w:r>
    </w:p>
    <w:p w:rsidR="00625B7A" w:rsidRDefault="00625B7A" w:rsidP="00625B7A">
      <w:pPr>
        <w:pStyle w:val="Odrkybod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 vysokém energetickém standardu,</w:t>
      </w:r>
    </w:p>
    <w:p w:rsidR="00625B7A" w:rsidRDefault="00625B7A" w:rsidP="00625B7A">
      <w:pPr>
        <w:pStyle w:val="Odrkybod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pasivním energetickém standardu,  </w:t>
      </w:r>
    </w:p>
    <w:p w:rsidR="00625B7A" w:rsidRDefault="00625B7A" w:rsidP="00625B7A">
      <w:pPr>
        <w:pStyle w:val="Odrkybod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plusových (nulových) budov.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5734"/>
      </w:tblGrid>
      <w:tr w:rsidR="00625B7A" w:rsidTr="00625B7A">
        <w:trPr>
          <w:trHeight w:val="119"/>
        </w:trPr>
        <w:tc>
          <w:tcPr>
            <w:tcW w:w="8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B7A" w:rsidRDefault="00625B7A">
            <w:pPr>
              <w:rPr>
                <w:b/>
                <w:bCs/>
              </w:rPr>
            </w:pPr>
            <w:r>
              <w:rPr>
                <w:b/>
                <w:bCs/>
              </w:rPr>
              <w:t>Pro budovy s vysokým energetickým standardem:</w:t>
            </w:r>
          </w:p>
        </w:tc>
      </w:tr>
      <w:tr w:rsidR="00625B7A" w:rsidTr="00625B7A">
        <w:trPr>
          <w:trHeight w:val="201"/>
        </w:trPr>
        <w:tc>
          <w:tcPr>
            <w:tcW w:w="3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B7A" w:rsidRDefault="00625B7A">
            <w:r>
              <w:t>Maximální výše podpory (Kč)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B7A" w:rsidRDefault="00625B7A">
            <w:r>
              <w:t>80 mil. Kč</w:t>
            </w:r>
          </w:p>
        </w:tc>
      </w:tr>
      <w:tr w:rsidR="00625B7A" w:rsidTr="00625B7A">
        <w:trPr>
          <w:trHeight w:val="201"/>
        </w:trPr>
        <w:tc>
          <w:tcPr>
            <w:tcW w:w="3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B7A" w:rsidRDefault="00625B7A">
            <w:r>
              <w:t>Míra podpory (% CZV)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B7A" w:rsidRDefault="00625B7A">
            <w:r>
              <w:t>30 %</w:t>
            </w:r>
          </w:p>
        </w:tc>
      </w:tr>
    </w:tbl>
    <w:p w:rsidR="00625B7A" w:rsidRDefault="00625B7A" w:rsidP="00625B7A"/>
    <w:p w:rsidR="00625B7A" w:rsidRDefault="00625B7A" w:rsidP="00625B7A">
      <w:pPr>
        <w:ind w:firstLine="360"/>
        <w:jc w:val="both"/>
        <w:rPr>
          <w:b/>
          <w:bCs/>
        </w:rPr>
      </w:pPr>
      <w:r>
        <w:rPr>
          <w:b/>
          <w:bCs/>
        </w:rPr>
        <w:t>Budovy ve vysokém energetickém standardu</w:t>
      </w:r>
      <w:r>
        <w:rPr>
          <w:vertAlign w:val="superscript"/>
        </w:rPr>
        <w:footnoteReference w:customMarkFollows="1" w:id="1"/>
        <w:t>[1]</w:t>
      </w:r>
      <w:r>
        <w:t xml:space="preserve"> </w:t>
      </w:r>
      <w:r>
        <w:rPr>
          <w:b/>
          <w:bCs/>
        </w:rPr>
        <w:t> </w:t>
      </w:r>
    </w:p>
    <w:p w:rsidR="00625B7A" w:rsidRDefault="00625B7A" w:rsidP="00625B7A">
      <w:pPr>
        <w:jc w:val="both"/>
      </w:pPr>
      <w:r>
        <w:t xml:space="preserve">Jedná se o budovy, u kterých s ohledem na specifický typ provozování, </w:t>
      </w:r>
      <w:r>
        <w:rPr>
          <w:b/>
          <w:bCs/>
        </w:rPr>
        <w:t>nelze docílit</w:t>
      </w:r>
      <w:r>
        <w:t xml:space="preserve"> pasivního standardu nebo parametrů plusové (nulové) budovy.  </w:t>
      </w:r>
    </w:p>
    <w:p w:rsidR="00625B7A" w:rsidRDefault="00625B7A" w:rsidP="00625B7A">
      <w:pPr>
        <w:jc w:val="both"/>
      </w:pPr>
      <w:r>
        <w:t>Typicky jde o budovy s vysokými požadavky na vytápění, chlazení, nebo je definován legislativní, či technický požadavek na vyšší výměnu vzduchu se zachováním určitých parametrů (teplota, vlhkost). Jedná se např. o bazény, aquacentra, depozitáře, experimentální budovy, budovy laboratoří apod.</w:t>
      </w:r>
    </w:p>
    <w:p w:rsidR="00625B7A" w:rsidRDefault="00625B7A" w:rsidP="00625B7A">
      <w:pPr>
        <w:jc w:val="both"/>
      </w:pPr>
      <w:r>
        <w:t>Nová budova ve vysokém energetickém standardu (týká se i přístaveb a nástaveb) bude dosahovat následující hodnoty energetických ukazatelů:</w:t>
      </w:r>
    </w:p>
    <w:tbl>
      <w:tblPr>
        <w:tblpPr w:leftFromText="150" w:rightFromText="150" w:bottomFromText="124" w:vertAnchor="text"/>
        <w:tblW w:w="94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4203"/>
      </w:tblGrid>
      <w:tr w:rsidR="00625B7A" w:rsidTr="00625B7A">
        <w:trPr>
          <w:trHeight w:val="406"/>
        </w:trPr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B7A" w:rsidRDefault="00625B7A">
            <w:pPr>
              <w:keepNext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Sledovaný ukazatel</w:t>
            </w:r>
          </w:p>
        </w:tc>
        <w:tc>
          <w:tcPr>
            <w:tcW w:w="4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B7A" w:rsidRDefault="00625B7A">
            <w:pPr>
              <w:keepNext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Požadovaná hodnota </w:t>
            </w:r>
          </w:p>
        </w:tc>
      </w:tr>
      <w:tr w:rsidR="00625B7A" w:rsidTr="00625B7A">
        <w:trPr>
          <w:trHeight w:val="406"/>
        </w:trPr>
        <w:tc>
          <w:tcPr>
            <w:tcW w:w="5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B7A" w:rsidRDefault="00625B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Průvzdušnost obálky budovy při tlakovém rozdílu 50 Pa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B7A" w:rsidRDefault="00625B7A">
            <w:pPr>
              <w:rPr>
                <w:color w:val="000000"/>
              </w:rPr>
            </w:pPr>
            <w:r>
              <w:t>n</w:t>
            </w:r>
            <w:r>
              <w:rPr>
                <w:vertAlign w:val="subscript"/>
              </w:rPr>
              <w:t>50</w:t>
            </w:r>
            <w:r>
              <w:t xml:space="preserve"> ≤ 0,6.h</w:t>
            </w:r>
            <w:r>
              <w:rPr>
                <w:vertAlign w:val="superscript"/>
              </w:rPr>
              <w:t>-1</w:t>
            </w:r>
          </w:p>
        </w:tc>
      </w:tr>
      <w:tr w:rsidR="00625B7A" w:rsidTr="00625B7A">
        <w:trPr>
          <w:trHeight w:val="406"/>
        </w:trPr>
        <w:tc>
          <w:tcPr>
            <w:tcW w:w="5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B7A" w:rsidRDefault="00625B7A">
            <w:pPr>
              <w:jc w:val="both"/>
              <w:rPr>
                <w:color w:val="000000"/>
              </w:rPr>
            </w:pPr>
            <w:r>
              <w:t>Průměrný součinitel prostupu tepla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B7A" w:rsidRDefault="00625B7A">
            <w:pPr>
              <w:rPr>
                <w:color w:val="000000"/>
              </w:rPr>
            </w:pPr>
            <w:proofErr w:type="spellStart"/>
            <w:r>
              <w:t>U</w:t>
            </w:r>
            <w:r>
              <w:rPr>
                <w:vertAlign w:val="subscript"/>
              </w:rPr>
              <w:t>em</w:t>
            </w:r>
            <w:proofErr w:type="spellEnd"/>
            <w:r>
              <w:t xml:space="preserve"> ≤ 0,35 W.m</w:t>
            </w:r>
            <w:r>
              <w:rPr>
                <w:vertAlign w:val="superscript"/>
              </w:rPr>
              <w:t>-2</w:t>
            </w:r>
            <w:r>
              <w:t>K</w:t>
            </w:r>
            <w:r>
              <w:rPr>
                <w:vertAlign w:val="superscript"/>
              </w:rPr>
              <w:t>-1</w:t>
            </w:r>
          </w:p>
        </w:tc>
      </w:tr>
      <w:tr w:rsidR="00625B7A" w:rsidTr="00625B7A">
        <w:trPr>
          <w:trHeight w:val="406"/>
        </w:trPr>
        <w:tc>
          <w:tcPr>
            <w:tcW w:w="5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B7A" w:rsidRDefault="00625B7A">
            <w:pPr>
              <w:jc w:val="both"/>
            </w:pPr>
            <w:r>
              <w:t>Nejvyšší denní teplota vzduchu v místnosti v letním období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B7A" w:rsidRDefault="00625B7A">
            <w:r>
              <w:t xml:space="preserve">≤ </w:t>
            </w:r>
            <w:proofErr w:type="spellStart"/>
            <w:r>
              <w:t>Ɵ</w:t>
            </w:r>
            <w:r>
              <w:rPr>
                <w:vertAlign w:val="subscript"/>
              </w:rPr>
              <w:t>ai,</w:t>
            </w:r>
            <w:proofErr w:type="gramStart"/>
            <w:r>
              <w:rPr>
                <w:vertAlign w:val="subscript"/>
              </w:rPr>
              <w:t>max,N</w:t>
            </w:r>
            <w:proofErr w:type="spellEnd"/>
            <w:proofErr w:type="gramEnd"/>
          </w:p>
        </w:tc>
      </w:tr>
      <w:tr w:rsidR="00625B7A" w:rsidTr="00625B7A">
        <w:trPr>
          <w:trHeight w:val="406"/>
        </w:trPr>
        <w:tc>
          <w:tcPr>
            <w:tcW w:w="5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B7A" w:rsidRDefault="00625B7A">
            <w:pPr>
              <w:jc w:val="both"/>
            </w:pPr>
            <w:r>
              <w:t xml:space="preserve">Primární energie z neobnovitelných zdrojů 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B7A" w:rsidRDefault="00625B7A">
            <w:pPr>
              <w:rPr>
                <w:vertAlign w:val="subscript"/>
              </w:rPr>
            </w:pPr>
            <w:proofErr w:type="spellStart"/>
            <w:r>
              <w:t>E</w:t>
            </w:r>
            <w:r>
              <w:rPr>
                <w:rStyle w:val="a10"/>
                <w:vertAlign w:val="subscript"/>
              </w:rPr>
              <w:t>pN,A</w:t>
            </w:r>
            <w:proofErr w:type="spellEnd"/>
            <w:r>
              <w:t xml:space="preserve"> ≤ 0,80. E</w:t>
            </w:r>
            <w:r>
              <w:rPr>
                <w:vertAlign w:val="subscript"/>
              </w:rPr>
              <w:t>R</w:t>
            </w:r>
          </w:p>
        </w:tc>
      </w:tr>
    </w:tbl>
    <w:p w:rsidR="004D6061" w:rsidRDefault="004D6061"/>
    <w:sectPr w:rsidR="004D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FE7" w:rsidRDefault="00315FE7" w:rsidP="00625B7A">
      <w:r>
        <w:separator/>
      </w:r>
    </w:p>
  </w:endnote>
  <w:endnote w:type="continuationSeparator" w:id="0">
    <w:p w:rsidR="00315FE7" w:rsidRDefault="00315FE7" w:rsidP="006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FE7" w:rsidRDefault="00315FE7" w:rsidP="00625B7A">
      <w:r>
        <w:separator/>
      </w:r>
    </w:p>
  </w:footnote>
  <w:footnote w:type="continuationSeparator" w:id="0">
    <w:p w:rsidR="00315FE7" w:rsidRDefault="00315FE7" w:rsidP="00625B7A">
      <w:r>
        <w:continuationSeparator/>
      </w:r>
    </w:p>
  </w:footnote>
  <w:footnote w:id="1">
    <w:p w:rsidR="00625B7A" w:rsidRDefault="00625B7A" w:rsidP="00625B7A">
      <w:pPr>
        <w:spacing w:line="312" w:lineRule="auto"/>
        <w:jc w:val="both"/>
        <w:rPr>
          <w:sz w:val="18"/>
          <w:szCs w:val="18"/>
        </w:rPr>
      </w:pPr>
      <w:r>
        <w:rPr>
          <w:rStyle w:val="Znakapoznpodarou"/>
          <w:sz w:val="18"/>
          <w:szCs w:val="18"/>
        </w:rPr>
        <w:t>[1]</w:t>
      </w:r>
      <w:r>
        <w:rPr>
          <w:sz w:val="18"/>
          <w:szCs w:val="18"/>
        </w:rPr>
        <w:t xml:space="preserve"> Požadavky musí být jednoznačně uvedeny v Energetickém posudku. Správnost zařazení do této kategorie, odůvodnění a návrh budovy s vysokým energetickým standardem potvrdí nezávislý posudek zajištěný SFŽP ČR.  </w:t>
      </w:r>
    </w:p>
    <w:p w:rsidR="00625B7A" w:rsidRDefault="00625B7A" w:rsidP="00625B7A">
      <w:pPr>
        <w:pStyle w:val="Textpoznpodarou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A17C3"/>
    <w:multiLevelType w:val="hybridMultilevel"/>
    <w:tmpl w:val="749CE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346A"/>
    <w:multiLevelType w:val="hybridMultilevel"/>
    <w:tmpl w:val="039CDD7A"/>
    <w:lvl w:ilvl="0" w:tplc="49B6318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D9CE577C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80909FC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8688A17E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E7AA219E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0882262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58BA2C34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2EF566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DC6E0AA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4B00F02"/>
    <w:multiLevelType w:val="hybridMultilevel"/>
    <w:tmpl w:val="C8EA637A"/>
    <w:lvl w:ilvl="0" w:tplc="A3BAC904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1DE9A00">
      <w:start w:val="1"/>
      <w:numFmt w:val="bullet"/>
      <w:pStyle w:val="Odrkykrouek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CE2E2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DF2470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6ACEF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CA97C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E1248F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EE8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8AEE6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435A23"/>
    <w:multiLevelType w:val="multilevel"/>
    <w:tmpl w:val="BAAA8D0C"/>
    <w:lvl w:ilvl="0">
      <w:start w:val="1"/>
      <w:numFmt w:val="upperLetter"/>
      <w:pStyle w:val="OM-nadpis1"/>
      <w:lvlText w:val="%1."/>
      <w:lvlJc w:val="left"/>
      <w:pPr>
        <w:ind w:left="432" w:hanging="432"/>
      </w:p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</w:lvl>
    <w:lvl w:ilvl="2">
      <w:start w:val="1"/>
      <w:numFmt w:val="decimal"/>
      <w:pStyle w:val="OM-napdis3"/>
      <w:lvlText w:val="%1.%2.%3"/>
      <w:lvlJc w:val="left"/>
      <w:pPr>
        <w:ind w:left="2296" w:hanging="737"/>
      </w:pPr>
      <w:rPr>
        <w:b/>
        <w:bCs/>
      </w:rPr>
    </w:lvl>
    <w:lvl w:ilvl="3">
      <w:start w:val="1"/>
      <w:numFmt w:val="decimal"/>
      <w:pStyle w:val="OM-nadpis4"/>
      <w:lvlText w:val="%1.%2.%3.%4"/>
      <w:lvlJc w:val="left"/>
      <w:pPr>
        <w:ind w:left="737" w:hanging="737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position w:val="0"/>
        <w:u w:val="none"/>
        <w:effect w:val="none"/>
        <w:vertAlign w:val="baseline"/>
        <w:specVanish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OM-nadpis6"/>
      <w:lvlText w:val="%1.%2.%3.%4.%5.%6"/>
      <w:lvlJc w:val="left"/>
      <w:pPr>
        <w:ind w:left="1861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F7234B7"/>
    <w:multiLevelType w:val="hybridMultilevel"/>
    <w:tmpl w:val="29F0275A"/>
    <w:lvl w:ilvl="0" w:tplc="19B0D99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88CA22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33A1FA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ABCF4B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8AC2CC8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574974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B4CA0A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5A311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23EDFE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18"/>
    <w:rsid w:val="00024E18"/>
    <w:rsid w:val="00315FE7"/>
    <w:rsid w:val="004D6061"/>
    <w:rsid w:val="005F21F0"/>
    <w:rsid w:val="0062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4EC63-9DD9-4AA7-B7D8-D6B41998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B7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5B7A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5B7A"/>
    <w:pPr>
      <w:spacing w:line="312" w:lineRule="auto"/>
      <w:jc w:val="both"/>
    </w:pPr>
    <w:rPr>
      <w:rFonts w:ascii="Arial" w:hAnsi="Arial" w:cs="Arial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5B7A"/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uiPriority w:val="1"/>
    <w:semiHidden/>
    <w:unhideWhenUsed/>
    <w:rsid w:val="00625B7A"/>
    <w:pPr>
      <w:ind w:left="377"/>
    </w:pPr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625B7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25B7A"/>
    <w:pPr>
      <w:ind w:left="720"/>
    </w:pPr>
  </w:style>
  <w:style w:type="paragraph" w:customStyle="1" w:styleId="OM-nadpis1">
    <w:name w:val="OM - nadpis 1"/>
    <w:basedOn w:val="Normln"/>
    <w:uiPriority w:val="99"/>
    <w:rsid w:val="00625B7A"/>
    <w:pPr>
      <w:pageBreakBefore/>
      <w:numPr>
        <w:numId w:val="1"/>
      </w:numPr>
      <w:spacing w:before="360" w:after="360"/>
    </w:pPr>
    <w:rPr>
      <w:b/>
      <w:bCs/>
      <w:sz w:val="28"/>
      <w:szCs w:val="28"/>
    </w:rPr>
  </w:style>
  <w:style w:type="paragraph" w:customStyle="1" w:styleId="OM-nadpis2">
    <w:name w:val="OM - nadpis 2"/>
    <w:basedOn w:val="Normln"/>
    <w:uiPriority w:val="99"/>
    <w:rsid w:val="00625B7A"/>
    <w:pPr>
      <w:numPr>
        <w:ilvl w:val="1"/>
        <w:numId w:val="1"/>
      </w:numPr>
      <w:spacing w:before="240" w:after="240"/>
      <w:jc w:val="both"/>
    </w:pPr>
    <w:rPr>
      <w:b/>
      <w:bCs/>
      <w:sz w:val="24"/>
      <w:szCs w:val="24"/>
    </w:rPr>
  </w:style>
  <w:style w:type="paragraph" w:customStyle="1" w:styleId="OM-nadpis4">
    <w:name w:val="OM - nadpis 4"/>
    <w:basedOn w:val="Normln"/>
    <w:uiPriority w:val="99"/>
    <w:rsid w:val="00625B7A"/>
    <w:pPr>
      <w:numPr>
        <w:ilvl w:val="3"/>
        <w:numId w:val="1"/>
      </w:numPr>
      <w:spacing w:after="120"/>
      <w:jc w:val="both"/>
    </w:pPr>
    <w:rPr>
      <w:b/>
      <w:bCs/>
      <w:sz w:val="20"/>
      <w:szCs w:val="20"/>
    </w:rPr>
  </w:style>
  <w:style w:type="character" w:customStyle="1" w:styleId="OM-napdis3Char">
    <w:name w:val="OM - napdis 3 Char"/>
    <w:basedOn w:val="Standardnpsmoodstavce"/>
    <w:link w:val="OM-napdis3"/>
    <w:uiPriority w:val="99"/>
    <w:locked/>
    <w:rsid w:val="00625B7A"/>
    <w:rPr>
      <w:b/>
      <w:bCs/>
    </w:rPr>
  </w:style>
  <w:style w:type="paragraph" w:customStyle="1" w:styleId="OM-napdis3">
    <w:name w:val="OM - napdis 3"/>
    <w:basedOn w:val="Normln"/>
    <w:link w:val="OM-napdis3Char"/>
    <w:uiPriority w:val="99"/>
    <w:rsid w:val="00625B7A"/>
    <w:pPr>
      <w:numPr>
        <w:ilvl w:val="2"/>
        <w:numId w:val="1"/>
      </w:numPr>
      <w:spacing w:before="120" w:after="120"/>
      <w:ind w:left="737"/>
      <w:jc w:val="both"/>
    </w:pPr>
    <w:rPr>
      <w:rFonts w:asciiTheme="minorHAnsi" w:hAnsiTheme="minorHAnsi" w:cstheme="minorBidi"/>
      <w:b/>
      <w:bCs/>
    </w:rPr>
  </w:style>
  <w:style w:type="paragraph" w:customStyle="1" w:styleId="OM-nadpis5">
    <w:name w:val="OM - nadpis 5"/>
    <w:basedOn w:val="Normln"/>
    <w:uiPriority w:val="99"/>
    <w:rsid w:val="00625B7A"/>
    <w:pPr>
      <w:numPr>
        <w:ilvl w:val="4"/>
        <w:numId w:val="1"/>
      </w:numPr>
      <w:spacing w:after="120"/>
      <w:jc w:val="both"/>
    </w:pPr>
    <w:rPr>
      <w:b/>
      <w:bCs/>
    </w:rPr>
  </w:style>
  <w:style w:type="paragraph" w:customStyle="1" w:styleId="OM-nadpis6">
    <w:name w:val="OM - nadpis 6"/>
    <w:basedOn w:val="Normln"/>
    <w:uiPriority w:val="99"/>
    <w:rsid w:val="00625B7A"/>
    <w:pPr>
      <w:numPr>
        <w:ilvl w:val="5"/>
        <w:numId w:val="1"/>
      </w:num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OdrkybodChar">
    <w:name w:val="Odrážky_bod Char"/>
    <w:basedOn w:val="Standardnpsmoodstavce"/>
    <w:link w:val="Odrkybod"/>
    <w:uiPriority w:val="99"/>
    <w:locked/>
    <w:rsid w:val="00625B7A"/>
    <w:rPr>
      <w:rFonts w:ascii="Arial" w:hAnsi="Arial" w:cs="Arial"/>
    </w:rPr>
  </w:style>
  <w:style w:type="paragraph" w:customStyle="1" w:styleId="Odrkybod">
    <w:name w:val="Odrážky_bod"/>
    <w:basedOn w:val="Normln"/>
    <w:link w:val="OdrkybodChar"/>
    <w:uiPriority w:val="99"/>
    <w:rsid w:val="00625B7A"/>
    <w:pPr>
      <w:numPr>
        <w:numId w:val="2"/>
      </w:numPr>
      <w:spacing w:before="120" w:after="120" w:line="360" w:lineRule="auto"/>
      <w:jc w:val="both"/>
    </w:pPr>
    <w:rPr>
      <w:rFonts w:ascii="Arial" w:hAnsi="Arial" w:cs="Arial"/>
    </w:rPr>
  </w:style>
  <w:style w:type="paragraph" w:customStyle="1" w:styleId="Odrkykrouek">
    <w:name w:val="Odrážky_kroužek"/>
    <w:basedOn w:val="Normln"/>
    <w:uiPriority w:val="99"/>
    <w:rsid w:val="00625B7A"/>
    <w:pPr>
      <w:numPr>
        <w:ilvl w:val="1"/>
        <w:numId w:val="2"/>
      </w:numPr>
      <w:spacing w:before="120" w:after="120" w:line="360" w:lineRule="auto"/>
      <w:ind w:left="737" w:hanging="737"/>
      <w:jc w:val="both"/>
    </w:pPr>
    <w:rPr>
      <w:rFonts w:ascii="Arial" w:hAnsi="Arial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25B7A"/>
    <w:rPr>
      <w:rFonts w:ascii="Times New Roman" w:hAnsi="Times New Roman" w:cs="Times New Roman" w:hint="default"/>
      <w:vertAlign w:val="superscript"/>
    </w:rPr>
  </w:style>
  <w:style w:type="character" w:customStyle="1" w:styleId="a10">
    <w:name w:val="a10"/>
    <w:basedOn w:val="Standardnpsmoodstavce"/>
    <w:uiPriority w:val="99"/>
    <w:rsid w:val="00625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opa.eu/new-european-bauhaus/index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2034</Characters>
  <Application>Microsoft Office Word</Application>
  <DocSecurity>0</DocSecurity>
  <Lines>16</Lines>
  <Paragraphs>4</Paragraphs>
  <ScaleCrop>false</ScaleCrop>
  <Company>HP Inc.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Zahradníková Renata</dc:creator>
  <cp:keywords/>
  <dc:description/>
  <cp:lastModifiedBy>Zahradníková Renata</cp:lastModifiedBy>
  <cp:revision>4</cp:revision>
  <dcterms:created xsi:type="dcterms:W3CDTF">2021-12-02T09:41:00Z</dcterms:created>
  <dcterms:modified xsi:type="dcterms:W3CDTF">2021-12-02T09:42:00Z</dcterms:modified>
</cp:coreProperties>
</file>