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14:paraId="10E4ACAB" w14:textId="77777777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37D8BD58" w14:textId="77777777" w:rsidR="00457D47" w:rsidRPr="00470540" w:rsidRDefault="00457D47" w:rsidP="00632CD0">
            <w:pPr>
              <w:pStyle w:val="Smrnice"/>
              <w:rPr>
                <w:szCs w:val="56"/>
              </w:rPr>
            </w:pPr>
          </w:p>
        </w:tc>
      </w:tr>
      <w:tr w:rsidR="00457D47" w:rsidRPr="00702DBF" w14:paraId="124AD95F" w14:textId="77777777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2FC0CB7A" w14:textId="737925AF" w:rsidR="00457D47" w:rsidRPr="00702DBF" w:rsidRDefault="007632C8" w:rsidP="00F35D2D">
            <w:pPr>
              <w:pStyle w:val="Smrnice"/>
            </w:pPr>
            <w:r>
              <w:t xml:space="preserve">oBECNĚ ZÁVAZNÁ VYHLÁŠKA </w:t>
            </w:r>
            <w:r>
              <w:br/>
              <w:t>Č. x/2023</w:t>
            </w:r>
            <w:r w:rsidR="00C3677B">
              <w:t>, O STANOVENÍ KOEFICIE</w:t>
            </w:r>
            <w:r w:rsidR="00F35D2D">
              <w:t>n</w:t>
            </w:r>
            <w:r w:rsidR="00C3677B">
              <w:t>Tů PRO VÝPOČET DANĚ Z NEMOVITOSTÍ</w:t>
            </w:r>
          </w:p>
        </w:tc>
      </w:tr>
      <w:tr w:rsidR="00457D47" w14:paraId="5B561450" w14:textId="7777777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5C81C104" w14:textId="77777777"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78D6966F" w14:textId="77777777" w:rsidR="00457D47" w:rsidRPr="005E71FA" w:rsidRDefault="00457D47" w:rsidP="00632CD0">
            <w:pPr>
              <w:pStyle w:val="stranaprav"/>
            </w:pPr>
          </w:p>
        </w:tc>
      </w:tr>
      <w:tr w:rsidR="00457D47" w14:paraId="71F3452F" w14:textId="7777777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105621CC" w14:textId="77777777" w:rsidR="00457D47" w:rsidRPr="005E71FA" w:rsidRDefault="00457D47" w:rsidP="00632CD0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535B55B1" w14:textId="77777777" w:rsidR="00457D47" w:rsidRPr="00E34E25" w:rsidRDefault="005B288C" w:rsidP="00962A0C">
            <w:pPr>
              <w:pStyle w:val="stranaprav"/>
              <w:numPr>
                <w:ilvl w:val="0"/>
                <w:numId w:val="19"/>
              </w:numPr>
            </w:pPr>
            <w:r>
              <w:t>1. 2024</w:t>
            </w:r>
          </w:p>
        </w:tc>
      </w:tr>
      <w:tr w:rsidR="00457D47" w14:paraId="2D968C41" w14:textId="7777777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1CB20CC5" w14:textId="77777777"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75A09C3B" w14:textId="77777777" w:rsidR="00457D47" w:rsidRPr="00E34E25" w:rsidRDefault="00457D47" w:rsidP="00632CD0">
            <w:pPr>
              <w:pStyle w:val="stranaprav"/>
            </w:pPr>
          </w:p>
        </w:tc>
      </w:tr>
      <w:tr w:rsidR="00457D47" w14:paraId="4C2300E2" w14:textId="7777777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038F672B" w14:textId="77777777"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2F759006" w14:textId="77777777" w:rsidR="00457D47" w:rsidRPr="00E34E25" w:rsidRDefault="00457D47" w:rsidP="00632CD0">
            <w:pPr>
              <w:pStyle w:val="stranaprav"/>
            </w:pPr>
          </w:p>
        </w:tc>
      </w:tr>
      <w:tr w:rsidR="00457D47" w14:paraId="0D482AD1" w14:textId="7777777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75E5BB9C" w14:textId="77777777" w:rsidR="00457D47" w:rsidRPr="009177FD" w:rsidRDefault="00457D47" w:rsidP="00632CD0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095B43E4" w14:textId="77777777" w:rsidR="00457D47" w:rsidRPr="00E34E25" w:rsidRDefault="00C3677B" w:rsidP="00C3677B">
            <w:pPr>
              <w:pStyle w:val="stranaprav"/>
            </w:pPr>
            <w:r>
              <w:t xml:space="preserve">Obecně závaznou vyhlášku č. 3/2010, kterou se stanovují koeficienty pro výpočet daně z nemovitostí na území SMO účinnou od 1. 1. 2011 </w:t>
            </w:r>
          </w:p>
        </w:tc>
      </w:tr>
      <w:tr w:rsidR="00457D47" w14:paraId="4BC959BC" w14:textId="7777777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249F551E" w14:textId="77777777" w:rsidR="00457D47" w:rsidRPr="009177FD" w:rsidRDefault="00C3677B" w:rsidP="00632CD0">
            <w:pPr>
              <w:pStyle w:val="stranalev"/>
            </w:pPr>
            <w:r>
              <w:t>Garant</w:t>
            </w:r>
            <w:r w:rsidR="00457D47" w:rsidRPr="009177FD"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0F91146D" w14:textId="77777777" w:rsidR="00457D47" w:rsidRPr="00E34E25" w:rsidRDefault="00C3677B" w:rsidP="00C3677B">
            <w:pPr>
              <w:pStyle w:val="stranaprav"/>
            </w:pPr>
            <w:r>
              <w:t xml:space="preserve">Ing. Lenka Grigarová, vedoucí odboru finančního a rozpočtového </w:t>
            </w:r>
          </w:p>
        </w:tc>
      </w:tr>
      <w:tr w:rsidR="00457D47" w14:paraId="2D5C873D" w14:textId="7777777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06846DB9" w14:textId="77777777" w:rsidR="00457D47" w:rsidRPr="009177FD" w:rsidRDefault="00457D47" w:rsidP="003317BE">
            <w:pPr>
              <w:pStyle w:val="stranalev"/>
            </w:pPr>
            <w:r w:rsidRPr="009177FD">
              <w:t>Název odboru</w:t>
            </w:r>
            <w:r w:rsidR="003317BE">
              <w:t xml:space="preserve"> garanta</w:t>
            </w:r>
            <w:r w:rsidRPr="009177FD"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2171FF51" w14:textId="77777777" w:rsidR="00457D47" w:rsidRPr="00E34E25" w:rsidRDefault="00C3677B" w:rsidP="00632CD0">
            <w:pPr>
              <w:pStyle w:val="stranaprav"/>
            </w:pPr>
            <w:r>
              <w:t>Odbor finanční a rozpočtový</w:t>
            </w:r>
          </w:p>
        </w:tc>
      </w:tr>
    </w:tbl>
    <w:p w14:paraId="51BD0D92" w14:textId="77777777" w:rsidR="00022C2A" w:rsidRDefault="00022C2A" w:rsidP="00022C2A"/>
    <w:p w14:paraId="5CBE6EC8" w14:textId="1764F619" w:rsidR="00962A0C" w:rsidRDefault="00022C2A" w:rsidP="00EB0571">
      <w:pPr>
        <w:pStyle w:val="lnekText"/>
        <w:numPr>
          <w:ilvl w:val="0"/>
          <w:numId w:val="0"/>
        </w:numPr>
        <w:jc w:val="both"/>
        <w:rPr>
          <w:rFonts w:cs="Arial"/>
        </w:rPr>
      </w:pPr>
      <w:r>
        <w:br w:type="page"/>
      </w:r>
      <w:r w:rsidR="00D531E1">
        <w:lastRenderedPageBreak/>
        <w:t xml:space="preserve">Zastupitelstvo statutárního města Opavy </w:t>
      </w:r>
      <w:r w:rsidR="003F33E3">
        <w:t xml:space="preserve">svým usnesením č. …. </w:t>
      </w:r>
      <w:proofErr w:type="gramStart"/>
      <w:r w:rsidR="003F33E3">
        <w:t>ze</w:t>
      </w:r>
      <w:proofErr w:type="gramEnd"/>
      <w:r w:rsidR="003F33E3">
        <w:t xml:space="preserve"> dne </w:t>
      </w:r>
      <w:r w:rsidR="001A456C">
        <w:t xml:space="preserve">11. 9. 2023 </w:t>
      </w:r>
      <w:r w:rsidR="003F33E3">
        <w:t xml:space="preserve">vydává </w:t>
      </w:r>
      <w:r w:rsidR="001F4363">
        <w:t xml:space="preserve">dle </w:t>
      </w:r>
      <w:r w:rsidR="00420C6A" w:rsidRPr="00DA3552">
        <w:rPr>
          <w:rFonts w:cs="Arial"/>
        </w:rPr>
        <w:t xml:space="preserve"> </w:t>
      </w:r>
      <w:r w:rsidR="00661337">
        <w:rPr>
          <w:rFonts w:cs="Arial"/>
        </w:rPr>
        <w:br/>
      </w:r>
      <w:r w:rsidR="00420C6A" w:rsidRPr="00DA3552">
        <w:rPr>
          <w:rFonts w:cs="Arial"/>
        </w:rPr>
        <w:t>§ 11 odst.</w:t>
      </w:r>
      <w:r w:rsidR="00F90EE4">
        <w:rPr>
          <w:rFonts w:cs="Arial"/>
        </w:rPr>
        <w:t xml:space="preserve"> 2 písm. c) a odst.</w:t>
      </w:r>
      <w:r w:rsidR="00420C6A" w:rsidRPr="00DA3552">
        <w:rPr>
          <w:rFonts w:cs="Arial"/>
        </w:rPr>
        <w:t xml:space="preserve"> 3 písm. b</w:t>
      </w:r>
      <w:r w:rsidR="00420C6A">
        <w:rPr>
          <w:rFonts w:cs="Arial"/>
        </w:rPr>
        <w:t>)</w:t>
      </w:r>
      <w:r w:rsidR="00F90EE4">
        <w:rPr>
          <w:rFonts w:cs="Arial"/>
        </w:rPr>
        <w:t xml:space="preserve"> a</w:t>
      </w:r>
      <w:r w:rsidR="00EB0571">
        <w:rPr>
          <w:rFonts w:cs="Arial"/>
        </w:rPr>
        <w:t xml:space="preserve"> § 12</w:t>
      </w:r>
      <w:r w:rsidR="00420C6A">
        <w:rPr>
          <w:rFonts w:cs="Arial"/>
        </w:rPr>
        <w:t xml:space="preserve"> zákona č. 338/1992 Sb., o </w:t>
      </w:r>
      <w:r w:rsidR="00420C6A" w:rsidRPr="00DA3552">
        <w:rPr>
          <w:rFonts w:cs="Arial"/>
        </w:rPr>
        <w:t>dani z nemovitých věcí, ve znění pozdějších předpisů</w:t>
      </w:r>
      <w:r w:rsidR="001F4363">
        <w:rPr>
          <w:rFonts w:cs="Arial"/>
        </w:rPr>
        <w:t>,</w:t>
      </w:r>
      <w:r w:rsidR="00420C6A" w:rsidRPr="00DA3552">
        <w:rPr>
          <w:rFonts w:cs="Arial"/>
        </w:rPr>
        <w:t xml:space="preserve"> (dále jen „zákon o dani z nemovitých věcí“)</w:t>
      </w:r>
      <w:r w:rsidR="001F4363">
        <w:rPr>
          <w:rFonts w:cs="Arial"/>
        </w:rPr>
        <w:t xml:space="preserve"> a</w:t>
      </w:r>
      <w:r w:rsidR="001F4363" w:rsidRPr="001F4363">
        <w:t xml:space="preserve"> </w:t>
      </w:r>
      <w:r w:rsidR="001F4363" w:rsidRPr="001F4363">
        <w:rPr>
          <w:rFonts w:cs="Arial"/>
        </w:rPr>
        <w:t xml:space="preserve">dle ustanovení § 84 odst. 2 písm. h) zákona č. 128/2000 Sb., o obcích (obecní zřízení), ve znění pozdějších předpisů, </w:t>
      </w:r>
      <w:r w:rsidR="00420C6A">
        <w:rPr>
          <w:rFonts w:cs="Arial"/>
        </w:rPr>
        <w:t>tuto obecně závaznou vyhlášku</w:t>
      </w:r>
      <w:r w:rsidR="00962A0C">
        <w:rPr>
          <w:rFonts w:cs="Arial"/>
        </w:rPr>
        <w:t>:</w:t>
      </w:r>
    </w:p>
    <w:p w14:paraId="10ACD935" w14:textId="77777777" w:rsidR="002C2903" w:rsidRPr="002C2903" w:rsidRDefault="00420C6A" w:rsidP="00EB0571">
      <w:pPr>
        <w:pStyle w:val="lnekText"/>
        <w:numPr>
          <w:ilvl w:val="0"/>
          <w:numId w:val="0"/>
        </w:numPr>
        <w:jc w:val="both"/>
      </w:pPr>
      <w:r>
        <w:rPr>
          <w:rFonts w:cs="Arial"/>
        </w:rPr>
        <w:t xml:space="preserve"> </w:t>
      </w:r>
    </w:p>
    <w:p w14:paraId="521584F8" w14:textId="77777777" w:rsidR="00C75A5C" w:rsidRDefault="00C75A5C" w:rsidP="00C75A5C">
      <w:pPr>
        <w:pStyle w:val="lnekNadpis"/>
      </w:pPr>
    </w:p>
    <w:p w14:paraId="1E9AF935" w14:textId="77777777" w:rsidR="002778FC" w:rsidRDefault="00DB06A9" w:rsidP="002C2903">
      <w:pPr>
        <w:pStyle w:val="lnekNzev"/>
      </w:pPr>
      <w:r>
        <w:t xml:space="preserve">Účel </w:t>
      </w:r>
    </w:p>
    <w:p w14:paraId="3A573B4C" w14:textId="3C4A8CFE" w:rsidR="00D113EE" w:rsidRDefault="00420C6A" w:rsidP="00D113EE">
      <w:pPr>
        <w:pStyle w:val="lnekText"/>
        <w:numPr>
          <w:ilvl w:val="0"/>
          <w:numId w:val="0"/>
        </w:numPr>
        <w:jc w:val="both"/>
      </w:pPr>
      <w:r>
        <w:t>Účelem této vyhlášky</w:t>
      </w:r>
      <w:r w:rsidR="00DB06A9">
        <w:t xml:space="preserve"> je stanovení koeficientů pro výpočet daně z věci nemovitých na území statutárního města Opavy, které je vymezeno katastrálními územími: </w:t>
      </w:r>
      <w:proofErr w:type="spellStart"/>
      <w:r w:rsidR="00DB06A9">
        <w:t>Držkovice</w:t>
      </w:r>
      <w:proofErr w:type="spellEnd"/>
      <w:r w:rsidR="00DB06A9">
        <w:t xml:space="preserve">, </w:t>
      </w:r>
      <w:proofErr w:type="spellStart"/>
      <w:r w:rsidR="00DB06A9">
        <w:t>Jaktař</w:t>
      </w:r>
      <w:proofErr w:type="spellEnd"/>
      <w:r w:rsidR="00DB06A9">
        <w:t xml:space="preserve">, </w:t>
      </w:r>
      <w:proofErr w:type="spellStart"/>
      <w:r w:rsidR="0088329A">
        <w:t>Jarkovice</w:t>
      </w:r>
      <w:proofErr w:type="spellEnd"/>
      <w:r w:rsidR="0088329A">
        <w:t xml:space="preserve">, </w:t>
      </w:r>
      <w:r w:rsidR="00DB06A9">
        <w:t xml:space="preserve">Kateřinky u Opavy, Komárov u Opavy, Kylešovice, </w:t>
      </w:r>
      <w:r w:rsidR="00D113EE">
        <w:t xml:space="preserve">Malé Hoštice, Milostovice, Opava-Město, Opava-Předměstí, </w:t>
      </w:r>
      <w:proofErr w:type="spellStart"/>
      <w:r w:rsidR="00D113EE">
        <w:t>Palhanec</w:t>
      </w:r>
      <w:proofErr w:type="spellEnd"/>
      <w:r w:rsidR="00D113EE">
        <w:t>, Podvihov, Suché Lazce, Vávrovice, Vlaštovičky, Zlatníky u Opavy.</w:t>
      </w:r>
    </w:p>
    <w:p w14:paraId="46F51EB7" w14:textId="77777777" w:rsidR="00D113EE" w:rsidRDefault="00D113EE" w:rsidP="00D113EE">
      <w:pPr>
        <w:pStyle w:val="lnekNadpis"/>
      </w:pPr>
    </w:p>
    <w:p w14:paraId="44A82F18" w14:textId="77777777" w:rsidR="00B45EA5" w:rsidRDefault="00B45EA5" w:rsidP="00B45EA5">
      <w:pPr>
        <w:pStyle w:val="lnekNzev"/>
      </w:pPr>
      <w:r>
        <w:t>Stavby a jednotky</w:t>
      </w:r>
    </w:p>
    <w:p w14:paraId="50BBF6B3" w14:textId="78DB582B" w:rsidR="007D38BE" w:rsidRPr="007D38BE" w:rsidRDefault="007D38BE" w:rsidP="007D38BE">
      <w:pPr>
        <w:pStyle w:val="lnekText"/>
        <w:numPr>
          <w:ilvl w:val="0"/>
          <w:numId w:val="0"/>
        </w:numPr>
        <w:jc w:val="both"/>
      </w:pPr>
      <w:r>
        <w:t xml:space="preserve">U </w:t>
      </w:r>
      <w:r w:rsidRPr="007D38BE">
        <w:rPr>
          <w:rFonts w:cs="Arial"/>
          <w:color w:val="000000" w:themeColor="text1"/>
        </w:rPr>
        <w:t>zdanitelných staveb a zdanitelných jednotek uvedených v § 11 odst. 1 písm. c) a d) zákona o dani z nemovitých věcí se stanovuje koeficient, kterým se násobí základní sazba daně, případně sazba daně zvýšená podle § 11 odst. 2 zákona o dani z nemovitých věcí, ve výši 1,5.</w:t>
      </w:r>
      <w:r w:rsidRPr="007D38BE">
        <w:rPr>
          <w:rStyle w:val="Znakapoznpodarou"/>
          <w:rFonts w:cs="Arial"/>
          <w:color w:val="000000" w:themeColor="text1"/>
        </w:rPr>
        <w:footnoteReference w:id="1"/>
      </w:r>
    </w:p>
    <w:p w14:paraId="5C61C4A0" w14:textId="78D5EEF3" w:rsidR="00A04155" w:rsidRPr="00A04155" w:rsidRDefault="00A04155" w:rsidP="00A04155">
      <w:pPr>
        <w:tabs>
          <w:tab w:val="left" w:pos="1134"/>
        </w:tabs>
        <w:spacing w:after="120"/>
        <w:jc w:val="both"/>
        <w:rPr>
          <w:rFonts w:cs="Arial"/>
          <w:color w:val="FF0000"/>
          <w:szCs w:val="22"/>
        </w:rPr>
      </w:pPr>
    </w:p>
    <w:p w14:paraId="2FF4B34C" w14:textId="77777777" w:rsidR="00EB0571" w:rsidRDefault="00EB0571" w:rsidP="00EB0571">
      <w:pPr>
        <w:pStyle w:val="lnekNadpis"/>
      </w:pPr>
    </w:p>
    <w:p w14:paraId="598F2ABF" w14:textId="77777777" w:rsidR="00EB0571" w:rsidRDefault="00EB0571" w:rsidP="00EB0571">
      <w:pPr>
        <w:pStyle w:val="lnekNzev"/>
      </w:pPr>
      <w:r>
        <w:t>Místní koeficient</w:t>
      </w:r>
    </w:p>
    <w:p w14:paraId="6467CDCE" w14:textId="77777777" w:rsidR="00EB0571" w:rsidRDefault="00EB0571" w:rsidP="00EB0571">
      <w:pPr>
        <w:pStyle w:val="lnekText"/>
        <w:numPr>
          <w:ilvl w:val="0"/>
          <w:numId w:val="0"/>
        </w:numPr>
        <w:jc w:val="both"/>
      </w:pPr>
      <w:r w:rsidRPr="00EB0571">
        <w:t xml:space="preserve">Místní koeficient se pro celé katastrální území </w:t>
      </w:r>
      <w:r>
        <w:t>statutárního města Opavy</w:t>
      </w:r>
      <w:r w:rsidRPr="00EB0571">
        <w:t xml:space="preserve"> stanoví ve výši </w:t>
      </w:r>
      <w:r>
        <w:t>2,0</w:t>
      </w:r>
      <w:r w:rsidR="00610567">
        <w:t>.</w:t>
      </w:r>
      <w:r w:rsidR="00962A0C">
        <w:rPr>
          <w:rStyle w:val="Znakapoznpodarou"/>
        </w:rPr>
        <w:footnoteReference w:id="2"/>
      </w:r>
      <w:r w:rsidR="00962A0C">
        <w:t xml:space="preserve"> </w:t>
      </w:r>
      <w:r>
        <w:t xml:space="preserve">Tímto koeficientem </w:t>
      </w:r>
      <w:r w:rsidRPr="00EB0571">
        <w:t>se násobí daň poplatníka za jednotlivé druhy pozemků, zdanitelných staveb nebo zdanitelných jednotek, popřípadě jejich souhrny, s výjimkou pozemků uvedených v § 5 odst. 1 zákona o dani z nemovitých věcí.</w:t>
      </w:r>
    </w:p>
    <w:p w14:paraId="66FCF44C" w14:textId="77777777" w:rsidR="00EB0571" w:rsidRDefault="00EB0571" w:rsidP="00EB0571">
      <w:pPr>
        <w:pStyle w:val="lnekNadpis"/>
      </w:pPr>
    </w:p>
    <w:p w14:paraId="1134E619" w14:textId="77777777" w:rsidR="00EB0571" w:rsidRDefault="00EB0571" w:rsidP="00EB0571">
      <w:pPr>
        <w:pStyle w:val="lnekNzev"/>
      </w:pPr>
      <w:r>
        <w:t>Závěrečné ustanovení</w:t>
      </w:r>
    </w:p>
    <w:p w14:paraId="356C026F" w14:textId="77777777" w:rsidR="00EB0571" w:rsidRDefault="00EB0571" w:rsidP="00EB0571">
      <w:pPr>
        <w:pStyle w:val="lnekText"/>
      </w:pPr>
      <w:r>
        <w:t>Tato obecně závazná vyhláška nabývá účinnosti dnem 1. 1. 2024.</w:t>
      </w:r>
    </w:p>
    <w:p w14:paraId="0BA61C64" w14:textId="3BA92CAA" w:rsidR="00663376" w:rsidRDefault="00EB0571" w:rsidP="007A3977">
      <w:pPr>
        <w:pStyle w:val="lnekText"/>
        <w:jc w:val="both"/>
      </w:pPr>
      <w:r w:rsidRPr="00EB0571">
        <w:t xml:space="preserve">Zrušuje se obecně závazná vyhláška </w:t>
      </w:r>
      <w:r>
        <w:t xml:space="preserve">statutárního města Opavy č. 3/2010, </w:t>
      </w:r>
      <w:r w:rsidR="009E530E">
        <w:t>kterou se s</w:t>
      </w:r>
      <w:r>
        <w:t>tanov</w:t>
      </w:r>
      <w:r w:rsidR="009E530E">
        <w:t>ují</w:t>
      </w:r>
      <w:r>
        <w:t xml:space="preserve"> koeficient</w:t>
      </w:r>
      <w:r w:rsidR="009E530E">
        <w:t>y</w:t>
      </w:r>
      <w:bookmarkStart w:id="0" w:name="_GoBack"/>
      <w:bookmarkEnd w:id="0"/>
      <w:r>
        <w:t xml:space="preserve"> pro výpočet výše daně z nemovitostí na území statutárního města Opavy</w:t>
      </w:r>
      <w:r w:rsidR="003317BE">
        <w:t xml:space="preserve"> ze dne 20. 4. 201</w:t>
      </w:r>
      <w:r w:rsidR="009E530E">
        <w:t>0</w:t>
      </w:r>
      <w:r w:rsidR="003317BE">
        <w:t>.</w:t>
      </w:r>
      <w:r>
        <w:t xml:space="preserve"> </w:t>
      </w:r>
      <w:r w:rsidR="009317C0">
        <w:t xml:space="preserve">  </w:t>
      </w:r>
      <w:r w:rsidR="00D113EE">
        <w:t xml:space="preserve"> </w:t>
      </w:r>
      <w:r w:rsidR="00DB06A9">
        <w:t xml:space="preserve"> </w:t>
      </w:r>
      <w:r w:rsidR="00420C6A">
        <w:t xml:space="preserve"> </w:t>
      </w:r>
    </w:p>
    <w:p w14:paraId="7E9BE76A" w14:textId="77777777" w:rsidR="00962A0C" w:rsidRDefault="00962A0C" w:rsidP="00663376">
      <w:pPr>
        <w:pStyle w:val="Podtren"/>
      </w:pPr>
    </w:p>
    <w:p w14:paraId="3E09CB76" w14:textId="77777777" w:rsidR="00962A0C" w:rsidRDefault="00962A0C" w:rsidP="00663376">
      <w:pPr>
        <w:pStyle w:val="Podtren"/>
      </w:pPr>
    </w:p>
    <w:p w14:paraId="18CF54BF" w14:textId="77777777" w:rsidR="00962A0C" w:rsidRDefault="00962A0C" w:rsidP="00663376">
      <w:pPr>
        <w:pStyle w:val="Podtren"/>
      </w:pPr>
    </w:p>
    <w:p w14:paraId="64F2E5EC" w14:textId="77777777" w:rsidR="00962A0C" w:rsidRDefault="00962A0C" w:rsidP="00663376">
      <w:pPr>
        <w:pStyle w:val="Podtren"/>
      </w:pPr>
    </w:p>
    <w:p w14:paraId="556B73F6" w14:textId="77777777" w:rsidR="00663376" w:rsidRDefault="00663376" w:rsidP="00663376">
      <w:pPr>
        <w:pStyle w:val="Podtren"/>
      </w:pPr>
      <w:r>
        <w:tab/>
      </w:r>
      <w:r>
        <w:tab/>
      </w:r>
      <w:r>
        <w:tab/>
      </w:r>
    </w:p>
    <w:p w14:paraId="164C8D6B" w14:textId="77777777" w:rsidR="00663376" w:rsidRDefault="00663376" w:rsidP="00663376">
      <w:pPr>
        <w:pStyle w:val="Podpis"/>
      </w:pPr>
      <w:r>
        <w:tab/>
      </w:r>
      <w:r w:rsidR="00962A0C">
        <w:t xml:space="preserve">Ing. Tomáš Navrátil </w:t>
      </w:r>
      <w:r>
        <w:tab/>
      </w:r>
      <w:r w:rsidR="00962A0C">
        <w:t>Ing. Michal Kokošek</w:t>
      </w:r>
    </w:p>
    <w:p w14:paraId="11DA0EAD" w14:textId="77777777" w:rsidR="00663376" w:rsidRDefault="00663376" w:rsidP="00663376">
      <w:pPr>
        <w:pStyle w:val="Podpis"/>
      </w:pPr>
      <w:r>
        <w:tab/>
      </w:r>
      <w:r w:rsidR="00962A0C">
        <w:t>primátor</w:t>
      </w:r>
      <w:r>
        <w:tab/>
      </w:r>
      <w:r w:rsidR="00962A0C">
        <w:t>1. náměstek primátora</w:t>
      </w:r>
    </w:p>
    <w:p w14:paraId="7571BD4A" w14:textId="77777777" w:rsidR="00663376" w:rsidRDefault="00663376" w:rsidP="00663376">
      <w:pPr>
        <w:pStyle w:val="Podpis"/>
      </w:pPr>
    </w:p>
    <w:sectPr w:rsidR="00663376" w:rsidSect="000177FB">
      <w:footerReference w:type="default" r:id="rId8"/>
      <w:headerReference w:type="first" r:id="rId9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788E4" w14:textId="77777777" w:rsidR="002E35F4" w:rsidRDefault="002E35F4" w:rsidP="00022C2A">
      <w:r>
        <w:separator/>
      </w:r>
    </w:p>
  </w:endnote>
  <w:endnote w:type="continuationSeparator" w:id="0">
    <w:p w14:paraId="4043539D" w14:textId="77777777" w:rsidR="002E35F4" w:rsidRDefault="002E35F4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F9856" w14:textId="77777777"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9E530E">
      <w:rPr>
        <w:noProof/>
        <w:sz w:val="14"/>
        <w:szCs w:val="14"/>
      </w:rPr>
      <w:t>2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9E530E">
      <w:rPr>
        <w:noProof/>
        <w:sz w:val="14"/>
        <w:szCs w:val="14"/>
      </w:rPr>
      <w:t>2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18C95" w14:textId="77777777" w:rsidR="002E35F4" w:rsidRDefault="002E35F4" w:rsidP="00022C2A">
      <w:r>
        <w:separator/>
      </w:r>
    </w:p>
  </w:footnote>
  <w:footnote w:type="continuationSeparator" w:id="0">
    <w:p w14:paraId="0D3B96B3" w14:textId="77777777" w:rsidR="002E35F4" w:rsidRDefault="002E35F4" w:rsidP="00022C2A">
      <w:r>
        <w:continuationSeparator/>
      </w:r>
    </w:p>
  </w:footnote>
  <w:footnote w:id="1">
    <w:p w14:paraId="11D26542" w14:textId="77777777" w:rsidR="007D38BE" w:rsidRPr="007D38BE" w:rsidRDefault="007D38BE" w:rsidP="007D38BE">
      <w:pPr>
        <w:pStyle w:val="Textpoznpodarou"/>
      </w:pPr>
      <w:r w:rsidRPr="007D38BE">
        <w:rPr>
          <w:rStyle w:val="Znakapoznpodarou"/>
        </w:rPr>
        <w:footnoteRef/>
      </w:r>
      <w:r w:rsidRPr="007D38BE">
        <w:rPr>
          <w:sz w:val="16"/>
          <w:szCs w:val="16"/>
        </w:rPr>
        <w:t xml:space="preserve"> § 11 odst. 3 písm. b) zákona o dani z nemovitých věcí</w:t>
      </w:r>
    </w:p>
  </w:footnote>
  <w:footnote w:id="2">
    <w:p w14:paraId="55012001" w14:textId="10B7FE3F" w:rsidR="00962A0C" w:rsidRPr="00A04155" w:rsidRDefault="00962A0C">
      <w:pPr>
        <w:pStyle w:val="Textpoznpodarou"/>
        <w:rPr>
          <w:sz w:val="16"/>
          <w:szCs w:val="16"/>
        </w:rPr>
      </w:pPr>
      <w:r w:rsidRPr="007D38BE">
        <w:rPr>
          <w:rStyle w:val="Znakapoznpodarou"/>
          <w:sz w:val="16"/>
          <w:szCs w:val="16"/>
        </w:rPr>
        <w:footnoteRef/>
      </w:r>
      <w:r w:rsidRPr="007D38BE">
        <w:rPr>
          <w:sz w:val="16"/>
          <w:szCs w:val="16"/>
        </w:rPr>
        <w:t xml:space="preserve"> </w:t>
      </w:r>
      <w:r w:rsidRPr="007D38BE">
        <w:t xml:space="preserve">§ </w:t>
      </w:r>
      <w:r w:rsidRPr="007D38BE">
        <w:rPr>
          <w:sz w:val="16"/>
          <w:szCs w:val="16"/>
        </w:rPr>
        <w:t xml:space="preserve">12 </w:t>
      </w:r>
      <w:r w:rsidR="00A04155" w:rsidRPr="007D38BE">
        <w:rPr>
          <w:sz w:val="16"/>
          <w:szCs w:val="16"/>
        </w:rPr>
        <w:t>zákona o dani z nemovitých věcí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CC8F2" w14:textId="77777777" w:rsidR="00663376" w:rsidRPr="00B713BC" w:rsidRDefault="00B8076A" w:rsidP="00B8076A">
    <w:pPr>
      <w:pStyle w:val="Zhlav"/>
      <w:tabs>
        <w:tab w:val="clear" w:pos="9072"/>
        <w:tab w:val="right" w:pos="6843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3F0D8FA" wp14:editId="59C0D03A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  <w:r>
      <w:tab/>
    </w:r>
  </w:p>
  <w:p w14:paraId="1955A576" w14:textId="77777777" w:rsidR="00B713BC" w:rsidRPr="007632C8" w:rsidRDefault="007632C8" w:rsidP="00B713BC">
    <w:pPr>
      <w:rPr>
        <w:sz w:val="28"/>
        <w:szCs w:val="28"/>
      </w:rPr>
    </w:pPr>
    <w:r>
      <w:rPr>
        <w:sz w:val="28"/>
        <w:szCs w:val="28"/>
      </w:rPr>
      <w:t>ZASTUPITELSTVO STATUTÁRNÍHO MĚSTA OPAVY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F3041"/>
    <w:multiLevelType w:val="multilevel"/>
    <w:tmpl w:val="7D0C9AAA"/>
    <w:numStyleLink w:val="SmrniceObsah"/>
  </w:abstractNum>
  <w:abstractNum w:abstractNumId="3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E9209B"/>
    <w:multiLevelType w:val="multilevel"/>
    <w:tmpl w:val="7D0C9AAA"/>
    <w:numStyleLink w:val="SmrniceObsah"/>
  </w:abstractNum>
  <w:abstractNum w:abstractNumId="5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4252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6" w15:restartNumberingAfterBreak="0">
    <w:nsid w:val="2A7C004D"/>
    <w:multiLevelType w:val="hybridMultilevel"/>
    <w:tmpl w:val="8708D9F2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A091BD6"/>
    <w:multiLevelType w:val="hybridMultilevel"/>
    <w:tmpl w:val="B38CB5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DD446A"/>
    <w:multiLevelType w:val="multilevel"/>
    <w:tmpl w:val="54DA9582"/>
    <w:numStyleLink w:val="SmrniceSeznam"/>
  </w:abstractNum>
  <w:abstractNum w:abstractNumId="11" w15:restartNumberingAfterBreak="0">
    <w:nsid w:val="43E265A2"/>
    <w:multiLevelType w:val="multilevel"/>
    <w:tmpl w:val="7D0C9AAA"/>
    <w:numStyleLink w:val="SmrniceObsah"/>
  </w:abstractNum>
  <w:abstractNum w:abstractNumId="12" w15:restartNumberingAfterBreak="0">
    <w:nsid w:val="4A9321F7"/>
    <w:multiLevelType w:val="multilevel"/>
    <w:tmpl w:val="7D0C9AAA"/>
    <w:numStyleLink w:val="SmrniceObsah"/>
  </w:abstractNum>
  <w:abstractNum w:abstractNumId="13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533354"/>
    <w:multiLevelType w:val="hybridMultilevel"/>
    <w:tmpl w:val="B38CB5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E87972"/>
    <w:multiLevelType w:val="multilevel"/>
    <w:tmpl w:val="7D0C9AAA"/>
    <w:numStyleLink w:val="SmrniceObsah"/>
  </w:abstractNum>
  <w:abstractNum w:abstractNumId="16" w15:restartNumberingAfterBreak="0">
    <w:nsid w:val="625406B4"/>
    <w:multiLevelType w:val="multilevel"/>
    <w:tmpl w:val="7D0C9AAA"/>
    <w:numStyleLink w:val="SmrniceObsah"/>
  </w:abstractNum>
  <w:abstractNum w:abstractNumId="17" w15:restartNumberingAfterBreak="0">
    <w:nsid w:val="6B196B2B"/>
    <w:multiLevelType w:val="multilevel"/>
    <w:tmpl w:val="54DA9582"/>
    <w:numStyleLink w:val="SmrniceSeznam"/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7"/>
  </w:num>
  <w:num w:numId="6">
    <w:abstractNumId w:val="17"/>
  </w:num>
  <w:num w:numId="7">
    <w:abstractNumId w:val="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4"/>
  </w:num>
  <w:num w:numId="12">
    <w:abstractNumId w:val="15"/>
  </w:num>
  <w:num w:numId="13">
    <w:abstractNumId w:val="16"/>
  </w:num>
  <w:num w:numId="14">
    <w:abstractNumId w:val="13"/>
  </w:num>
  <w:num w:numId="15">
    <w:abstractNumId w:val="12"/>
  </w:num>
  <w:num w:numId="16">
    <w:abstractNumId w:val="11"/>
  </w:num>
  <w:num w:numId="17">
    <w:abstractNumId w:val="14"/>
  </w:num>
  <w:num w:numId="18">
    <w:abstractNumId w:val="8"/>
  </w:num>
  <w:num w:numId="19">
    <w:abstractNumId w:val="6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6A"/>
    <w:rsid w:val="00013057"/>
    <w:rsid w:val="000177FB"/>
    <w:rsid w:val="00022C2A"/>
    <w:rsid w:val="0003428E"/>
    <w:rsid w:val="00091011"/>
    <w:rsid w:val="000F2DA3"/>
    <w:rsid w:val="000F65B3"/>
    <w:rsid w:val="001A456C"/>
    <w:rsid w:val="001B3D7D"/>
    <w:rsid w:val="001F4363"/>
    <w:rsid w:val="0026776E"/>
    <w:rsid w:val="00267FCF"/>
    <w:rsid w:val="002778FC"/>
    <w:rsid w:val="002A1949"/>
    <w:rsid w:val="002C2903"/>
    <w:rsid w:val="002E35F4"/>
    <w:rsid w:val="0031311C"/>
    <w:rsid w:val="003237B4"/>
    <w:rsid w:val="003317BE"/>
    <w:rsid w:val="00394E6F"/>
    <w:rsid w:val="00397A17"/>
    <w:rsid w:val="003F33E3"/>
    <w:rsid w:val="00420C6A"/>
    <w:rsid w:val="00457D47"/>
    <w:rsid w:val="004D7730"/>
    <w:rsid w:val="005213CF"/>
    <w:rsid w:val="00594CBA"/>
    <w:rsid w:val="005B288C"/>
    <w:rsid w:val="00610567"/>
    <w:rsid w:val="006344B9"/>
    <w:rsid w:val="00640488"/>
    <w:rsid w:val="00657EF9"/>
    <w:rsid w:val="00661337"/>
    <w:rsid w:val="00663376"/>
    <w:rsid w:val="006A1FE7"/>
    <w:rsid w:val="00713815"/>
    <w:rsid w:val="00725EA1"/>
    <w:rsid w:val="0076032E"/>
    <w:rsid w:val="007632C8"/>
    <w:rsid w:val="007D38BE"/>
    <w:rsid w:val="00816D54"/>
    <w:rsid w:val="00843187"/>
    <w:rsid w:val="0088329A"/>
    <w:rsid w:val="00901F75"/>
    <w:rsid w:val="00910DD5"/>
    <w:rsid w:val="00913585"/>
    <w:rsid w:val="009317C0"/>
    <w:rsid w:val="00962A0C"/>
    <w:rsid w:val="00984A01"/>
    <w:rsid w:val="009E530E"/>
    <w:rsid w:val="00A005C1"/>
    <w:rsid w:val="00A04155"/>
    <w:rsid w:val="00A40DAE"/>
    <w:rsid w:val="00A54602"/>
    <w:rsid w:val="00A75CF9"/>
    <w:rsid w:val="00AA06D5"/>
    <w:rsid w:val="00AF13CE"/>
    <w:rsid w:val="00B03D6A"/>
    <w:rsid w:val="00B45EA5"/>
    <w:rsid w:val="00B713BC"/>
    <w:rsid w:val="00B8076A"/>
    <w:rsid w:val="00B92FA6"/>
    <w:rsid w:val="00C3677B"/>
    <w:rsid w:val="00C44E5C"/>
    <w:rsid w:val="00C5761F"/>
    <w:rsid w:val="00C7514C"/>
    <w:rsid w:val="00C75A5C"/>
    <w:rsid w:val="00D05641"/>
    <w:rsid w:val="00D113EE"/>
    <w:rsid w:val="00D531E1"/>
    <w:rsid w:val="00D77881"/>
    <w:rsid w:val="00DA2438"/>
    <w:rsid w:val="00DB06A9"/>
    <w:rsid w:val="00E00468"/>
    <w:rsid w:val="00E847A9"/>
    <w:rsid w:val="00EB0571"/>
    <w:rsid w:val="00EF7874"/>
    <w:rsid w:val="00F35D2D"/>
    <w:rsid w:val="00F9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917F0"/>
  <w15:docId w15:val="{A12DE8AD-9426-42AF-B890-FB80F2F4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ind w:left="0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5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567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92F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FA6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FA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2F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2FA6"/>
    <w:rPr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88C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88C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B28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FAD08DF-7B60-4148-82E6-35E669FD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117</TotalTime>
  <Pages>2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Mrákotová Renáta</cp:lastModifiedBy>
  <cp:revision>6</cp:revision>
  <cp:lastPrinted>2023-08-30T09:08:00Z</cp:lastPrinted>
  <dcterms:created xsi:type="dcterms:W3CDTF">2023-08-24T08:35:00Z</dcterms:created>
  <dcterms:modified xsi:type="dcterms:W3CDTF">2023-08-30T10:55:00Z</dcterms:modified>
</cp:coreProperties>
</file>